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139"/>
        <w:spacing w:after="0"/>
        <w:rPr>
          <w:sz w:val="20"/>
          <w:szCs w:val="20"/>
          <w:color w:val="auto"/>
        </w:rPr>
      </w:pPr>
      <w:r>
        <w:rPr>
          <w:rFonts w:ascii="Arial" w:cs="Arial" w:eastAsia="Arial" w:hAnsi="Arial"/>
          <w:sz w:val="14"/>
          <w:szCs w:val="14"/>
          <w:color w:val="auto"/>
        </w:rPr>
        <w:t>Washington, D.C. 20549</w:t>
      </w:r>
    </w:p>
    <w:p>
      <w:pPr>
        <w:spacing w:after="0" w:line="18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14A</w:t>
      </w: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Exchange Act of 1934</w:t>
      </w:r>
    </w:p>
    <w:p>
      <w:pPr>
        <w:spacing w:after="0" w:line="175" w:lineRule="exact"/>
        <w:rPr>
          <w:sz w:val="24"/>
          <w:szCs w:val="24"/>
          <w:color w:val="auto"/>
        </w:rPr>
      </w:pPr>
    </w:p>
    <w:p>
      <w:pPr>
        <w:ind w:left="2300"/>
        <w:spacing w:after="0" w:line="150" w:lineRule="exact"/>
        <w:tabs>
          <w:tab w:leader="none" w:pos="6340" w:val="left"/>
        </w:tabs>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Filed by the Registrant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38010" cy="976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8010" cy="976630"/>
                    </a:xfrm>
                    <a:prstGeom prst="rect">
                      <a:avLst/>
                    </a:prstGeom>
                    <a:noFill/>
                  </pic:spPr>
                </pic:pic>
              </a:graphicData>
            </a:graphic>
          </wp:anchor>
        </w:drawing>
      </w:r>
    </w:p>
    <w:p>
      <w:pPr>
        <w:spacing w:after="0" w:line="269"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Check the appropriate box:</w:t>
      </w:r>
    </w:p>
    <w:p>
      <w:pPr>
        <w:spacing w:after="0" w:line="75" w:lineRule="exact"/>
        <w:rPr>
          <w:sz w:val="24"/>
          <w:szCs w:val="24"/>
          <w:color w:val="auto"/>
        </w:rPr>
      </w:pPr>
    </w:p>
    <w:p>
      <w:pPr>
        <w:ind w:left="660" w:hanging="337"/>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83" w:lineRule="exact"/>
        <w:rPr>
          <w:rFonts w:ascii="MS PGothic" w:cs="MS PGothic" w:eastAsia="MS PGothic" w:hAnsi="MS PGothic"/>
          <w:sz w:val="18"/>
          <w:szCs w:val="18"/>
          <w:color w:val="auto"/>
        </w:rPr>
      </w:pPr>
    </w:p>
    <w:p>
      <w:pPr>
        <w:ind w:left="320" w:right="4140" w:firstLine="3"/>
        <w:spacing w:after="0" w:line="228" w:lineRule="exact"/>
        <w:tabs>
          <w:tab w:leader="none" w:pos="658"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4"/>
          <w:szCs w:val="14"/>
          <w:color w:val="auto"/>
        </w:rPr>
        <w:t xml:space="preserve"> Definitive Proxy Statement</w:t>
      </w:r>
    </w:p>
    <w:p>
      <w:pPr>
        <w:spacing w:after="0" w:line="40" w:lineRule="exact"/>
        <w:rPr>
          <w:rFonts w:ascii="MS PGothic" w:cs="MS PGothic" w:eastAsia="MS PGothic" w:hAnsi="MS PGothic"/>
          <w:sz w:val="18"/>
          <w:szCs w:val="18"/>
          <w:color w:val="auto"/>
        </w:rPr>
      </w:pPr>
    </w:p>
    <w:p>
      <w:pPr>
        <w:ind w:left="660" w:hanging="337"/>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69" w:lineRule="exact"/>
        <w:rPr>
          <w:rFonts w:ascii="MS PGothic" w:cs="MS PGothic" w:eastAsia="MS PGothic" w:hAnsi="MS PGothic"/>
          <w:sz w:val="18"/>
          <w:szCs w:val="18"/>
          <w:color w:val="auto"/>
        </w:rPr>
      </w:pPr>
    </w:p>
    <w:p>
      <w:pPr>
        <w:ind w:left="660" w:hanging="337"/>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221" w:lineRule="exact"/>
        <w:rPr>
          <w:sz w:val="24"/>
          <w:szCs w:val="24"/>
          <w:color w:val="auto"/>
        </w:rPr>
      </w:pPr>
    </w:p>
    <w:tbl>
      <w:tblPr>
        <w:tblLayout w:type="fixed"/>
        <w:tblInd w:w="170" w:type="dxa"/>
        <w:tblCellMar>
          <w:top w:w="0" w:type="dxa"/>
          <w:left w:w="0" w:type="dxa"/>
          <w:bottom w:w="0" w:type="dxa"/>
          <w:right w:w="0" w:type="dxa"/>
        </w:tblCellMar>
      </w:tblPr>
      <w:tr>
        <w:trPr>
          <w:trHeight w:val="402"/>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60" w:type="dxa"/>
            <w:vAlign w:val="bottom"/>
          </w:tcPr>
          <w:p>
            <w:pPr>
              <w:jc w:val="center"/>
              <w:ind w:right="703"/>
              <w:spacing w:after="0"/>
              <w:rPr>
                <w:sz w:val="20"/>
                <w:szCs w:val="20"/>
                <w:color w:val="auto"/>
              </w:rPr>
            </w:pPr>
            <w:r>
              <w:rPr>
                <w:rFonts w:ascii="Arial" w:cs="Arial" w:eastAsia="Arial" w:hAnsi="Arial"/>
                <w:sz w:val="30"/>
                <w:szCs w:val="30"/>
                <w:b w:val="1"/>
                <w:bCs w:val="1"/>
                <w:color w:val="0033A0"/>
              </w:rPr>
              <w:t>GENERAL MOTORS COMPANY</w:t>
            </w:r>
          </w:p>
        </w:tc>
      </w:tr>
      <w:tr>
        <w:trPr>
          <w:trHeight w:val="355"/>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60" w:type="dxa"/>
            <w:vAlign w:val="bottom"/>
          </w:tcPr>
          <w:p>
            <w:pPr>
              <w:jc w:val="center"/>
              <w:ind w:right="723"/>
              <w:spacing w:after="0"/>
              <w:rPr>
                <w:sz w:val="20"/>
                <w:szCs w:val="20"/>
                <w:color w:val="auto"/>
              </w:rPr>
            </w:pPr>
            <w:r>
              <w:rPr>
                <w:rFonts w:ascii="Arial" w:cs="Arial" w:eastAsia="Arial" w:hAnsi="Arial"/>
                <w:sz w:val="14"/>
                <w:szCs w:val="14"/>
                <w:i w:val="1"/>
                <w:iCs w:val="1"/>
                <w:color w:val="auto"/>
              </w:rPr>
              <w:t>(Name of Registrant as Specified In Its Charter)</w:t>
            </w:r>
          </w:p>
        </w:tc>
      </w:tr>
      <w:tr>
        <w:trPr>
          <w:trHeight w:val="185"/>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60" w:type="dxa"/>
            <w:vAlign w:val="bottom"/>
          </w:tcPr>
          <w:p>
            <w:pPr>
              <w:jc w:val="center"/>
              <w:ind w:right="723"/>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tc>
      </w:tr>
      <w:tr>
        <w:trPr>
          <w:trHeight w:val="225"/>
        </w:trPr>
        <w:tc>
          <w:tcPr>
            <w:tcW w:w="460" w:type="dxa"/>
            <w:vAlign w:val="bottom"/>
            <w:tcBorders>
              <w:bottom w:val="single" w:sz="8" w:color="auto"/>
            </w:tcBorders>
          </w:tcPr>
          <w:p>
            <w:pPr>
              <w:spacing w:after="0"/>
              <w:rPr>
                <w:sz w:val="19"/>
                <w:szCs w:val="19"/>
                <w:color w:val="auto"/>
              </w:rPr>
            </w:pPr>
          </w:p>
        </w:tc>
        <w:tc>
          <w:tcPr>
            <w:tcW w:w="10480" w:type="dxa"/>
            <w:vAlign w:val="bottom"/>
            <w:tcBorders>
              <w:bottom w:val="single" w:sz="8" w:color="auto"/>
            </w:tcBorders>
            <w:gridSpan w:val="2"/>
          </w:tcPr>
          <w:p>
            <w:pPr>
              <w:spacing w:after="0"/>
              <w:rPr>
                <w:sz w:val="19"/>
                <w:szCs w:val="19"/>
                <w:color w:val="auto"/>
              </w:rPr>
            </w:pPr>
          </w:p>
        </w:tc>
      </w:tr>
      <w:tr>
        <w:trPr>
          <w:trHeight w:val="241"/>
        </w:trPr>
        <w:tc>
          <w:tcPr>
            <w:tcW w:w="10940" w:type="dxa"/>
            <w:vAlign w:val="bottom"/>
            <w:tcBorders>
              <w:left w:val="single" w:sz="8" w:color="auto"/>
              <w:bottom w:val="single" w:sz="8" w:color="auto"/>
              <w:right w:val="single" w:sz="8" w:color="auto"/>
            </w:tcBorders>
            <w:gridSpan w:val="3"/>
            <w:shd w:val="clear" w:color="auto" w:fill="E5F5FB"/>
          </w:tcPr>
          <w:p>
            <w:pPr>
              <w:ind w:left="160"/>
              <w:spacing w:after="0"/>
              <w:rPr>
                <w:sz w:val="20"/>
                <w:szCs w:val="20"/>
                <w:color w:val="auto"/>
              </w:rPr>
            </w:pPr>
            <w:r>
              <w:rPr>
                <w:rFonts w:ascii="Arial" w:cs="Arial" w:eastAsia="Arial" w:hAnsi="Arial"/>
                <w:sz w:val="18"/>
                <w:szCs w:val="18"/>
                <w:b w:val="1"/>
                <w:bCs w:val="1"/>
                <w:color w:val="auto"/>
              </w:rPr>
              <w:t>Payment of Filing Fee (Check the appropriate box):</w:t>
            </w:r>
          </w:p>
        </w:tc>
      </w:tr>
      <w:tr>
        <w:trPr>
          <w:trHeight w:val="232"/>
        </w:trPr>
        <w:tc>
          <w:tcPr>
            <w:tcW w:w="460" w:type="dxa"/>
            <w:vAlign w:val="bottom"/>
            <w:tcBorders>
              <w:left w:val="single" w:sz="8" w:color="auto"/>
              <w:right w:val="single" w:sz="8" w:color="auto"/>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4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 fee required.</w:t>
            </w: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48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25"/>
        </w:trPr>
        <w:tc>
          <w:tcPr>
            <w:tcW w:w="460" w:type="dxa"/>
            <w:vAlign w:val="bottom"/>
            <w:tcBorders>
              <w:left w:val="single" w:sz="8" w:color="auto"/>
              <w:right w:val="single" w:sz="8" w:color="auto"/>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4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Fee computed on table below per Exchange Act Rules 14a-6(i)(14) and 0-11.</w:t>
            </w:r>
          </w:p>
        </w:tc>
      </w:tr>
      <w:tr>
        <w:trPr>
          <w:trHeight w:val="22"/>
        </w:trPr>
        <w:tc>
          <w:tcPr>
            <w:tcW w:w="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1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60" w:type="dxa"/>
            <w:vAlign w:val="bottom"/>
            <w:tcBorders>
              <w:left w:val="single" w:sz="8" w:color="auto"/>
              <w:right w:val="single" w:sz="8" w:color="auto"/>
            </w:tcBorders>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(1)</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Title of each class of securities to which transaction applies:</w:t>
            </w:r>
          </w:p>
        </w:tc>
      </w:tr>
      <w:tr>
        <w:trPr>
          <w:trHeight w:val="201"/>
        </w:trPr>
        <w:tc>
          <w:tcPr>
            <w:tcW w:w="460" w:type="dxa"/>
            <w:vAlign w:val="bottom"/>
            <w:tcBorders>
              <w:left w:val="single" w:sz="8" w:color="auto"/>
              <w:right w:val="single" w:sz="8" w:color="auto"/>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(2)</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Aggregate number of securities to which transaction applies:</w:t>
            </w:r>
          </w:p>
        </w:tc>
      </w:tr>
      <w:tr>
        <w:trPr>
          <w:trHeight w:val="190"/>
        </w:trPr>
        <w:tc>
          <w:tcPr>
            <w:tcW w:w="460" w:type="dxa"/>
            <w:vAlign w:val="bottom"/>
            <w:tcBorders>
              <w:left w:val="single" w:sz="8" w:color="auto"/>
              <w:right w:val="single" w:sz="8" w:color="auto"/>
            </w:tcBorders>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(3)</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w:t>
            </w:r>
          </w:p>
        </w:tc>
      </w:tr>
      <w:tr>
        <w:trPr>
          <w:trHeight w:val="171"/>
        </w:trPr>
        <w:tc>
          <w:tcPr>
            <w:tcW w:w="46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state how it was determined):</w:t>
            </w:r>
          </w:p>
        </w:tc>
      </w:tr>
      <w:tr>
        <w:trPr>
          <w:trHeight w:val="201"/>
        </w:trPr>
        <w:tc>
          <w:tcPr>
            <w:tcW w:w="460" w:type="dxa"/>
            <w:vAlign w:val="bottom"/>
            <w:tcBorders>
              <w:left w:val="single" w:sz="8" w:color="auto"/>
              <w:right w:val="single" w:sz="8" w:color="auto"/>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(4)</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Proposed maximum aggregate value of transaction:</w:t>
            </w:r>
          </w:p>
        </w:tc>
      </w:tr>
      <w:tr>
        <w:trPr>
          <w:trHeight w:val="206"/>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(5)</w:t>
            </w:r>
          </w:p>
        </w:tc>
        <w:tc>
          <w:tcPr>
            <w:tcW w:w="10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Total fee paid:</w:t>
            </w:r>
          </w:p>
        </w:tc>
      </w:tr>
      <w:tr>
        <w:trPr>
          <w:trHeight w:val="253"/>
        </w:trPr>
        <w:tc>
          <w:tcPr>
            <w:tcW w:w="460" w:type="dxa"/>
            <w:vAlign w:val="bottom"/>
            <w:tcBorders>
              <w:left w:val="single" w:sz="8" w:color="auto"/>
              <w:bottom w:val="single" w:sz="8" w:color="auto"/>
              <w:right w:val="single" w:sz="8" w:color="auto"/>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4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Fee paid previously with preliminary materials.</w:t>
            </w:r>
          </w:p>
        </w:tc>
      </w:tr>
      <w:tr>
        <w:trPr>
          <w:trHeight w:val="181"/>
        </w:trPr>
        <w:tc>
          <w:tcPr>
            <w:tcW w:w="460" w:type="dxa"/>
            <w:vAlign w:val="bottom"/>
            <w:tcBorders>
              <w:left w:val="single" w:sz="8" w:color="auto"/>
              <w:right w:val="single" w:sz="8" w:color="auto"/>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4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w:t>
            </w:r>
          </w:p>
        </w:tc>
      </w:tr>
      <w:tr>
        <w:trPr>
          <w:trHeight w:val="195"/>
        </w:trPr>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104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previously. Identify the previous filing by registration statement number, or the Form or Schedule and the date of its filing.</w:t>
            </w:r>
          </w:p>
        </w:tc>
      </w:tr>
      <w:tr>
        <w:trPr>
          <w:trHeight w:val="215"/>
        </w:trPr>
        <w:tc>
          <w:tcPr>
            <w:tcW w:w="460" w:type="dxa"/>
            <w:vAlign w:val="bottom"/>
            <w:tcBorders>
              <w:left w:val="single" w:sz="8" w:color="auto"/>
              <w:right w:val="single" w:sz="8" w:color="auto"/>
            </w:tcBorders>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(1)</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Amount Previously Paid:</w:t>
            </w:r>
          </w:p>
        </w:tc>
      </w:tr>
      <w:tr>
        <w:trPr>
          <w:trHeight w:val="201"/>
        </w:trPr>
        <w:tc>
          <w:tcPr>
            <w:tcW w:w="460" w:type="dxa"/>
            <w:vAlign w:val="bottom"/>
            <w:tcBorders>
              <w:left w:val="single" w:sz="8" w:color="auto"/>
              <w:right w:val="single" w:sz="8" w:color="auto"/>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(2)</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Form, Schedule or Registration Statement No.:</w:t>
            </w:r>
          </w:p>
        </w:tc>
      </w:tr>
      <w:tr>
        <w:trPr>
          <w:trHeight w:val="201"/>
        </w:trPr>
        <w:tc>
          <w:tcPr>
            <w:tcW w:w="460" w:type="dxa"/>
            <w:vAlign w:val="bottom"/>
            <w:tcBorders>
              <w:left w:val="single" w:sz="8" w:color="auto"/>
              <w:right w:val="single" w:sz="8" w:color="auto"/>
            </w:tcBorders>
          </w:tcPr>
          <w:p>
            <w:pPr>
              <w:spacing w:after="0"/>
              <w:rPr>
                <w:sz w:val="17"/>
                <w:szCs w:val="17"/>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(3)</w:t>
            </w:r>
          </w:p>
        </w:tc>
        <w:tc>
          <w:tcPr>
            <w:tcW w:w="10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Filing Party:</w:t>
            </w:r>
          </w:p>
        </w:tc>
      </w:tr>
      <w:tr>
        <w:trPr>
          <w:trHeight w:val="206"/>
        </w:trPr>
        <w:tc>
          <w:tcPr>
            <w:tcW w:w="460" w:type="dxa"/>
            <w:vAlign w:val="bottom"/>
            <w:tcBorders>
              <w:left w:val="single" w:sz="8" w:color="auto"/>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(4)</w:t>
            </w:r>
          </w:p>
        </w:tc>
        <w:tc>
          <w:tcPr>
            <w:tcW w:w="10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Date Filed:</w:t>
            </w:r>
          </w:p>
        </w:tc>
      </w:tr>
    </w:tbl>
    <w:p>
      <w:pPr>
        <w:sectPr>
          <w:pgSz w:w="11900" w:h="16838" w:orient="portrait"/>
          <w:cols w:equalWidth="0" w:num="1">
            <w:col w:w="11100"/>
          </w:cols>
          <w:pgMar w:left="320" w:top="229" w:right="4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242570</wp:posOffset>
            </wp:positionV>
            <wp:extent cx="6908800" cy="8606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8800" cy="860679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80" w:right="1979" w:firstLine="650"/>
        <w:spacing w:after="0" w:line="292" w:lineRule="auto"/>
        <w:rPr>
          <w:sz w:val="20"/>
          <w:szCs w:val="20"/>
          <w:color w:val="auto"/>
        </w:rPr>
      </w:pPr>
      <w:r>
        <w:rPr>
          <w:rFonts w:ascii="Arial" w:cs="Arial" w:eastAsia="Arial" w:hAnsi="Arial"/>
          <w:sz w:val="28"/>
          <w:szCs w:val="28"/>
          <w:b w:val="1"/>
          <w:bCs w:val="1"/>
          <w:color w:val="606060"/>
        </w:rPr>
        <w:t>Proxy Statement and Notice 2020 Annual Meeting of Shareholders</w:t>
      </w:r>
    </w:p>
    <w:p>
      <w:pPr>
        <w:spacing w:after="0" w:line="111"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606060"/>
        </w:rPr>
        <w:t>June 16, 2020 | 8:00 a.m. ET</w:t>
      </w:r>
    </w:p>
    <w:p>
      <w:pPr>
        <w:sectPr>
          <w:pgSz w:w="11900" w:h="16838" w:orient="portrait"/>
          <w:cols w:equalWidth="0" w:num="1">
            <w:col w:w="10139"/>
          </w:cols>
          <w:pgMar w:left="320" w:top="456" w:right="1440"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31"/>
          <w:szCs w:val="31"/>
          <w:b w:val="1"/>
          <w:bCs w:val="1"/>
          <w:color w:val="0033A0"/>
        </w:rPr>
        <w:t>To Our Fellow Shareholders:</w:t>
      </w:r>
    </w:p>
    <w:p>
      <w:pPr>
        <w:spacing w:after="0" w:line="217"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color w:val="auto"/>
        </w:rPr>
        <w:t>As I write this letter, the world is in the midst of responding to the COVID-19 pandemic and its significant impact on public health, the global economy, and our industry. Your Board of Directors and the GM team have been taking swift and necessary actions to protect our Company and its employees, customers, communities, shareholders, and other stakeholders. I’d like to share what we are doing right now as we look ahead to the 2020 Annual Meeting and beyond to position the Company for long-term strength.</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0033A0"/>
        </w:rPr>
        <w:t>Commitment to Our Employees</w:t>
      </w:r>
    </w:p>
    <w:p>
      <w:pPr>
        <w:spacing w:after="0" w:line="11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Ever since COVID-19 emerged, GM has proactively addressed everything within our control, with the health and safety of our employees as our top priority. To help prevent the spread of COVID-19 in our workforce and communities, we asked our employees to work from home if their work permits it. This included a systematic and orderly suspension of a majority of our vehicle manufacturing operations around the world, including in North America. We are working closely with governments, health and public safety officials, and employee representatives as we monitor our production status on a week-to-week basis. Where our facilities continue to operate, we have adopted stringent and comprehensive safety measures to ensure a safe working environment. These measures include physical distancing, monitoring employee health daily, requiring employees to wear masks inside our facilities, and regularly sterilizing high-traffic public areas.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0033A0"/>
        </w:rPr>
        <w:t>Commitment to Our Customers</w:t>
      </w:r>
    </w:p>
    <w:p>
      <w:pPr>
        <w:spacing w:after="0" w:line="11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Vehicles are an integral part of our lives and livelihood and, in trying times like these, we want to be a resource for our customers. We have taken a variety of actions to help them— including providing complimentary OnStar Crisis Assist services and in-vehicle data to owners of compatible vehicles. OnStar advisors can help with special routing assistance, including to a hospital or clinic, and contact family members, emergency medical dispatch, and first responders. GM Financial’s Customer Experience team is also standing by to help customers affected by COVID-19 discuss personalized options in these uncertain times. Lastly, our digital Shop Click Drive dealer digital tool allows customers to arrange for the purchase and delivery of vehicles from home where available.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0033A0"/>
        </w:rPr>
        <w:t>Commitment to Our Communities</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are also constantly exploring ways to help our communities in this time of crisis. Last month, we were proud to announce a collaboration with Ventec Life Systems to expand production of Ventec’s V-Pro and VCSN critical-care ventilators to GM’s Kokomo, Indiana, plant. GM leveraged its IT, purchasing and logistics, supply chain, product development, manufacturing, talent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-949960</wp:posOffset>
            </wp:positionV>
            <wp:extent cx="715073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-414655</wp:posOffset>
            </wp:positionV>
            <wp:extent cx="3592195" cy="203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92195" cy="20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legal expertise to support this work, which resulted in an initial contract with the U.S. Department of Health and Human services for 30,000 ventilators. GM is also making face masks in its plant in Warren, Michigan, and we continue to investigate other ways we can use our expertise and resources to lend a hand in combatting the COVID-19 pandemic.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33A0"/>
        </w:rPr>
        <w:t>Commitment to Our Shareholders</w:t>
      </w:r>
    </w:p>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GM is aggressively pursuing austerity measures to preserve cash and is taking necessary steps to manage our liquidity, ensure the ongoing viability of our operations, and protect shareholder value. We recently drew down approximately $16 billion from our revolving credit facilities – a proactive measure to fortify our balance sheet, increase our cash position, and preserve financial flexibility in light of current uncertainty in global markets. We also implemented pay deferments for all salaried employees. Over the past several years, we have made strategic decisions and structural changes that have transformed the Company. These actions have better positioned us to face this challenge.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33A0"/>
        </w:rPr>
        <w:t>Advancing Toward Our Vision</w:t>
      </w:r>
    </w:p>
    <w:p>
      <w:pPr>
        <w:spacing w:after="0" w:line="1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this Proxy Statement, we share important details about your Board’s role in shaping GM’s purpose, strategy, governance, and culture. We have faced significant challenges in the last year, including a six-week labor stoppage in North America, difficult industry conditions in China and, now, COVID-19. Despite these challenges, we have improved and continue to improve our business through ongoing cost savings actions, operational excellence, and strong product launches, while advancing toward our vision of a world with zero crashes, zero emissions, and zero congestion.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33A0"/>
        </w:rPr>
        <w:t>Right Board at the Right Time</w:t>
      </w:r>
    </w:p>
    <w:p>
      <w:pPr>
        <w:spacing w:after="0" w:line="1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recent years, your Board has worked to strategically refresh its membership to ensure it has the breadth of experience to guide the Company during times just like these – when companies are facing new and unexpected challenges. Even in the face of this current environment of uncertainty, I continue to believe GM has an unprecedented opportunity to do more for our stakeholders and, ultimately, the planet. We have the right Board, at the right time, to ensure we emerge from this even stronger.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673225" cy="399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322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Mary T. Barra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 and Chief Executive Officer</w:t>
      </w:r>
    </w:p>
    <w:p>
      <w:pPr>
        <w:spacing w:after="0" w:line="288"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300 Renaissance Center | Detroit, Michigan 48265</w:t>
      </w:r>
    </w:p>
    <w:p>
      <w:pPr>
        <w:sectPr>
          <w:pgSz w:w="11900" w:h="16838" w:orient="portrait"/>
          <w:cols w:equalWidth="0" w:num="1">
            <w:col w:w="11080"/>
          </w:cols>
          <w:pgMar w:left="320" w:top="456"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60"/>
        <w:spacing w:after="0"/>
        <w:rPr>
          <w:sz w:val="20"/>
          <w:szCs w:val="20"/>
          <w:color w:val="auto"/>
        </w:rPr>
      </w:pPr>
      <w:r>
        <w:rPr>
          <w:rFonts w:ascii="Arial" w:cs="Arial" w:eastAsia="Arial" w:hAnsi="Arial"/>
          <w:sz w:val="44"/>
          <w:szCs w:val="44"/>
          <w:color w:val="00A1DF"/>
        </w:rPr>
        <w:t>Notice of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46355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color w:val="00A1DF"/>
        </w:rPr>
        <w:t>April 27, 2020</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color w:val="00A1DF"/>
        </w:rPr>
        <w:t>Dear Fellow Shareholder:</w:t>
      </w:r>
    </w:p>
    <w:p>
      <w:pPr>
        <w:spacing w:after="0" w:line="9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Board of Directors of General Motors Company cordially invites you to attend the 2020 Annual Meeting of Shareholders.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At the Annual Meeting, you will be asked to:</w:t>
      </w:r>
    </w:p>
    <w:p>
      <w:pPr>
        <w:spacing w:after="0" w:line="84" w:lineRule="exact"/>
        <w:rPr>
          <w:sz w:val="20"/>
          <w:szCs w:val="20"/>
          <w:color w:val="auto"/>
        </w:rPr>
      </w:pPr>
    </w:p>
    <w:p>
      <w:pPr>
        <w:ind w:left="640" w:hanging="259"/>
        <w:spacing w:after="0" w:line="249"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Elect the 11 Board-recommended director nominees named in this Proxy Statement;</w:t>
      </w:r>
    </w:p>
    <w:p>
      <w:pPr>
        <w:spacing w:after="0" w:line="71" w:lineRule="exact"/>
        <w:rPr>
          <w:rFonts w:ascii="Arial" w:cs="Arial" w:eastAsia="Arial" w:hAnsi="Arial"/>
          <w:sz w:val="20"/>
          <w:szCs w:val="20"/>
          <w:color w:val="00A1DF"/>
        </w:rPr>
      </w:pPr>
    </w:p>
    <w:p>
      <w:pPr>
        <w:ind w:left="640" w:right="20" w:hanging="259"/>
        <w:spacing w:after="0" w:line="249"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Approve, on an advisory basis, Named Executive Officer compensation;</w:t>
      </w:r>
    </w:p>
    <w:p>
      <w:pPr>
        <w:spacing w:after="0" w:line="71" w:lineRule="exact"/>
        <w:rPr>
          <w:rFonts w:ascii="Arial" w:cs="Arial" w:eastAsia="Arial" w:hAnsi="Arial"/>
          <w:sz w:val="20"/>
          <w:szCs w:val="20"/>
          <w:color w:val="00A1DF"/>
        </w:rPr>
      </w:pPr>
    </w:p>
    <w:p>
      <w:pPr>
        <w:jc w:val="both"/>
        <w:ind w:left="640" w:right="20" w:hanging="259"/>
        <w:spacing w:after="0" w:line="237"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Approve, on an advisory basis, the frequency of future advisory votes on Named Executive Officer compensation;</w:t>
      </w:r>
    </w:p>
    <w:p>
      <w:pPr>
        <w:spacing w:after="0" w:line="80" w:lineRule="exact"/>
        <w:rPr>
          <w:rFonts w:ascii="Arial" w:cs="Arial" w:eastAsia="Arial" w:hAnsi="Arial"/>
          <w:sz w:val="20"/>
          <w:szCs w:val="20"/>
          <w:color w:val="00A1DF"/>
        </w:rPr>
      </w:pPr>
    </w:p>
    <w:p>
      <w:pPr>
        <w:ind w:left="640" w:right="20" w:hanging="259"/>
        <w:spacing w:after="0" w:line="249"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Approve the General Motors Company 2020 Long-Term Incentive Plan;</w:t>
      </w:r>
    </w:p>
    <w:p>
      <w:pPr>
        <w:spacing w:after="0" w:line="71" w:lineRule="exact"/>
        <w:rPr>
          <w:rFonts w:ascii="Arial" w:cs="Arial" w:eastAsia="Arial" w:hAnsi="Arial"/>
          <w:sz w:val="20"/>
          <w:szCs w:val="20"/>
          <w:color w:val="00A1DF"/>
        </w:rPr>
      </w:pPr>
    </w:p>
    <w:p>
      <w:pPr>
        <w:jc w:val="both"/>
        <w:ind w:left="640" w:right="20" w:hanging="259"/>
        <w:spacing w:after="0" w:line="237"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Ratify the selection of Ernst &amp; Young LLP as the Company’s independent registered public accounting firm for 2020;</w:t>
      </w:r>
    </w:p>
    <w:p>
      <w:pPr>
        <w:spacing w:after="0" w:line="80" w:lineRule="exact"/>
        <w:rPr>
          <w:rFonts w:ascii="Arial" w:cs="Arial" w:eastAsia="Arial" w:hAnsi="Arial"/>
          <w:sz w:val="20"/>
          <w:szCs w:val="20"/>
          <w:color w:val="00A1DF"/>
        </w:rPr>
      </w:pPr>
    </w:p>
    <w:p>
      <w:pPr>
        <w:ind w:left="640" w:hanging="259"/>
        <w:spacing w:after="0" w:line="249"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Vote on four Rule 14a-8 shareholder proposals, if properly presented at the meeting; and</w:t>
      </w:r>
    </w:p>
    <w:p>
      <w:pPr>
        <w:spacing w:after="0" w:line="71" w:lineRule="exact"/>
        <w:rPr>
          <w:rFonts w:ascii="Arial" w:cs="Arial" w:eastAsia="Arial" w:hAnsi="Arial"/>
          <w:sz w:val="20"/>
          <w:szCs w:val="20"/>
          <w:color w:val="00A1DF"/>
        </w:rPr>
      </w:pPr>
    </w:p>
    <w:p>
      <w:pPr>
        <w:ind w:left="640" w:right="20" w:hanging="259"/>
        <w:spacing w:after="0" w:line="249" w:lineRule="auto"/>
        <w:tabs>
          <w:tab w:leader="none" w:pos="640" w:val="left"/>
        </w:tabs>
        <w:numPr>
          <w:ilvl w:val="0"/>
          <w:numId w:val="2"/>
        </w:numPr>
        <w:rPr>
          <w:rFonts w:ascii="Arial" w:cs="Arial" w:eastAsia="Arial" w:hAnsi="Arial"/>
          <w:sz w:val="20"/>
          <w:szCs w:val="20"/>
          <w:color w:val="00A1DF"/>
        </w:rPr>
      </w:pPr>
      <w:r>
        <w:rPr>
          <w:rFonts w:ascii="Arial" w:cs="Arial" w:eastAsia="Arial" w:hAnsi="Arial"/>
          <w:sz w:val="20"/>
          <w:szCs w:val="20"/>
          <w:i w:val="1"/>
          <w:iCs w:val="1"/>
          <w:color w:val="auto"/>
        </w:rPr>
        <w:t>Transact any other business that is properly presented at the meeting.</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0"/>
          <w:szCs w:val="20"/>
          <w:color w:val="00A1DF"/>
        </w:rPr>
        <w:t>Record Date: April 17, 2020.</w:t>
      </w:r>
    </w:p>
    <w:p>
      <w:pPr>
        <w:spacing w:after="0" w:line="91"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 xml:space="preserve">A list of registered shareholders will be available for examination for any purpose that is germane to the meeting for 10 business days before the Annual Meeting. Shareholders may request to review the list by emailing </w:t>
      </w:r>
      <w:r>
        <w:rPr>
          <w:rFonts w:ascii="Arial" w:cs="Arial" w:eastAsia="Arial" w:hAnsi="Arial"/>
          <w:sz w:val="20"/>
          <w:szCs w:val="20"/>
          <w:i w:val="1"/>
          <w:iCs w:val="1"/>
          <w:color w:val="auto"/>
        </w:rPr>
        <w:t>shareholder.relations@gm.com</w:t>
      </w:r>
      <w:r>
        <w:rPr>
          <w:rFonts w:ascii="Arial" w:cs="Arial" w:eastAsia="Arial" w:hAnsi="Arial"/>
          <w:sz w:val="20"/>
          <w:szCs w:val="20"/>
          <w:color w:val="auto"/>
        </w:rPr>
        <w:t>.</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This Proxy Statement is provided in conjunction with GM’s solicitation of proxies to be used at the Annual Meeting. Thank you for your interest in General Motors Company.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By Order of the Board of Directors,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Rick E. Hansen</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994410</wp:posOffset>
            </wp:positionV>
            <wp:extent cx="6793865" cy="101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00A1DF"/>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-667385</wp:posOffset>
            </wp:positionV>
            <wp:extent cx="3362960" cy="6675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2960" cy="667512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19"/>
          <w:szCs w:val="19"/>
          <w:color w:val="auto"/>
        </w:rPr>
        <w:t>June 16, 2020</w:t>
      </w:r>
    </w:p>
    <w:p>
      <w:pPr>
        <w:spacing w:after="0" w:line="10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Time:</w:t>
      </w:r>
      <w:r>
        <w:rPr>
          <w:sz w:val="20"/>
          <w:szCs w:val="20"/>
          <w:color w:val="auto"/>
        </w:rPr>
        <w:tab/>
      </w:r>
      <w:r>
        <w:rPr>
          <w:rFonts w:ascii="Arial" w:cs="Arial" w:eastAsia="Arial" w:hAnsi="Arial"/>
          <w:sz w:val="19"/>
          <w:szCs w:val="19"/>
          <w:color w:val="auto"/>
        </w:rPr>
        <w:t>8:00 a.m. Eastern Time</w:t>
      </w:r>
    </w:p>
    <w:p>
      <w:pPr>
        <w:spacing w:after="0" w:line="104" w:lineRule="exact"/>
        <w:rPr>
          <w:sz w:val="20"/>
          <w:szCs w:val="20"/>
          <w:color w:val="auto"/>
        </w:rPr>
      </w:pPr>
    </w:p>
    <w:p>
      <w:pPr>
        <w:ind w:left="680" w:right="760" w:hanging="685"/>
        <w:spacing w:after="0" w:line="253" w:lineRule="auto"/>
        <w:tabs>
          <w:tab w:leader="none" w:pos="660" w:val="left"/>
        </w:tabs>
        <w:rPr>
          <w:sz w:val="20"/>
          <w:szCs w:val="20"/>
          <w:color w:val="auto"/>
        </w:rPr>
      </w:pPr>
      <w:r>
        <w:rPr>
          <w:rFonts w:ascii="Arial" w:cs="Arial" w:eastAsia="Arial" w:hAnsi="Arial"/>
          <w:sz w:val="20"/>
          <w:szCs w:val="20"/>
          <w:b w:val="1"/>
          <w:bCs w:val="1"/>
          <w:color w:val="auto"/>
        </w:rPr>
        <w:t>Place:</w:t>
      </w:r>
      <w:r>
        <w:rPr>
          <w:sz w:val="20"/>
          <w:szCs w:val="20"/>
          <w:color w:val="auto"/>
        </w:rPr>
        <w:tab/>
      </w:r>
      <w:r>
        <w:rPr>
          <w:rFonts w:ascii="Arial" w:cs="Arial" w:eastAsia="Arial" w:hAnsi="Arial"/>
          <w:sz w:val="19"/>
          <w:szCs w:val="19"/>
          <w:color w:val="auto"/>
        </w:rPr>
        <w:t xml:space="preserve">Online via live webcast at </w:t>
      </w:r>
      <w:r>
        <w:rPr>
          <w:rFonts w:ascii="Arial" w:cs="Arial" w:eastAsia="Arial" w:hAnsi="Arial"/>
          <w:sz w:val="19"/>
          <w:szCs w:val="19"/>
          <w:i w:val="1"/>
          <w:iCs w:val="1"/>
          <w:color w:val="00A1DF"/>
        </w:rPr>
        <w:t>virtualshareholdermeeting.com/GM2020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21"/>
          <w:szCs w:val="21"/>
          <w:color w:val="00A1DF"/>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80"/>
        <w:spacing w:after="0" w:line="227" w:lineRule="auto"/>
        <w:rPr>
          <w:sz w:val="20"/>
          <w:szCs w:val="20"/>
          <w:color w:val="auto"/>
        </w:rPr>
      </w:pPr>
      <w:r>
        <w:rPr>
          <w:rFonts w:ascii="Arial" w:cs="Arial" w:eastAsia="Arial" w:hAnsi="Arial"/>
          <w:sz w:val="20"/>
          <w:szCs w:val="20"/>
          <w:color w:val="auto"/>
        </w:rPr>
        <w:t>Please promptly submit your vote by internet, by telephone, or by signing, dating, and returning the enclosed proxy card or voting instruction form in the postage-paid envelope provided so that your shares will be represented and voted at the meeting.</w:t>
      </w:r>
    </w:p>
    <w:p>
      <w:pPr>
        <w:spacing w:after="0" w:line="103" w:lineRule="exact"/>
        <w:rPr>
          <w:sz w:val="20"/>
          <w:szCs w:val="20"/>
          <w:color w:val="auto"/>
        </w:rPr>
      </w:pPr>
    </w:p>
    <w:p>
      <w:pPr>
        <w:jc w:val="both"/>
        <w:ind w:right="280"/>
        <w:spacing w:after="0" w:line="234" w:lineRule="auto"/>
        <w:rPr>
          <w:sz w:val="20"/>
          <w:szCs w:val="20"/>
          <w:color w:val="auto"/>
        </w:rPr>
      </w:pPr>
      <w:r>
        <w:rPr>
          <w:rFonts w:ascii="Arial" w:cs="Arial" w:eastAsia="Arial" w:hAnsi="Arial"/>
          <w:sz w:val="20"/>
          <w:szCs w:val="20"/>
          <w:color w:val="auto"/>
        </w:rPr>
        <w:t>We are first mailing these proxy materials to our shareholders on or about April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80"/>
        <w:spacing w:after="0"/>
        <w:rPr>
          <w:sz w:val="20"/>
          <w:szCs w:val="20"/>
          <w:color w:val="auto"/>
        </w:rPr>
      </w:pPr>
      <w:r>
        <w:rPr>
          <w:rFonts w:ascii="Arial" w:cs="Arial" w:eastAsia="Arial" w:hAnsi="Arial"/>
          <w:sz w:val="21"/>
          <w:szCs w:val="21"/>
          <w:color w:val="00A1DF"/>
        </w:rPr>
        <w:t>How You Can Access the</w:t>
      </w:r>
    </w:p>
    <w:p>
      <w:pPr>
        <w:jc w:val="center"/>
        <w:ind w:right="280"/>
        <w:spacing w:after="0"/>
        <w:rPr>
          <w:sz w:val="20"/>
          <w:szCs w:val="20"/>
          <w:color w:val="auto"/>
        </w:rPr>
      </w:pPr>
      <w:r>
        <w:rPr>
          <w:rFonts w:ascii="Arial" w:cs="Arial" w:eastAsia="Arial" w:hAnsi="Arial"/>
          <w:sz w:val="21"/>
          <w:szCs w:val="21"/>
          <w:color w:val="00A1DF"/>
        </w:rPr>
        <w:t>Proxy Materials Online:</w:t>
      </w:r>
    </w:p>
    <w:p>
      <w:pPr>
        <w:spacing w:after="0" w:line="200" w:lineRule="exact"/>
        <w:rPr>
          <w:sz w:val="20"/>
          <w:szCs w:val="20"/>
          <w:color w:val="auto"/>
        </w:rPr>
      </w:pPr>
    </w:p>
    <w:p>
      <w:pPr>
        <w:spacing w:after="0" w:line="260" w:lineRule="exact"/>
        <w:rPr>
          <w:sz w:val="20"/>
          <w:szCs w:val="20"/>
          <w:color w:val="auto"/>
        </w:rPr>
      </w:pPr>
    </w:p>
    <w:p>
      <w:pPr>
        <w:jc w:val="both"/>
        <w:ind w:right="280"/>
        <w:spacing w:after="0" w:line="239" w:lineRule="auto"/>
        <w:rPr>
          <w:sz w:val="20"/>
          <w:szCs w:val="20"/>
          <w:color w:val="auto"/>
        </w:rPr>
      </w:pPr>
      <w:r>
        <w:rPr>
          <w:rFonts w:ascii="Arial" w:cs="Arial" w:eastAsia="Arial" w:hAnsi="Arial"/>
          <w:sz w:val="20"/>
          <w:szCs w:val="20"/>
          <w:b w:val="1"/>
          <w:bCs w:val="1"/>
          <w:color w:val="auto"/>
        </w:rPr>
        <w:t>Important Notice Regarding the Availability of Proxy Materials for the 2020 Annual Meeting of Shareholders to Be Held on June 16, 2020.</w:t>
      </w:r>
    </w:p>
    <w:p>
      <w:pPr>
        <w:spacing w:after="0" w:line="99" w:lineRule="exact"/>
        <w:rPr>
          <w:sz w:val="20"/>
          <w:szCs w:val="20"/>
          <w:color w:val="auto"/>
        </w:rPr>
      </w:pPr>
    </w:p>
    <w:p>
      <w:pPr>
        <w:jc w:val="both"/>
        <w:ind w:right="280"/>
        <w:spacing w:after="0" w:line="227" w:lineRule="auto"/>
        <w:rPr>
          <w:sz w:val="20"/>
          <w:szCs w:val="20"/>
          <w:color w:val="auto"/>
        </w:rPr>
      </w:pPr>
      <w:r>
        <w:rPr>
          <w:rFonts w:ascii="Arial" w:cs="Arial" w:eastAsia="Arial" w:hAnsi="Arial"/>
          <w:sz w:val="20"/>
          <w:szCs w:val="20"/>
          <w:color w:val="auto"/>
        </w:rPr>
        <w:t xml:space="preserve">Our Proxy Statement and 2019 Annual Report are available at </w:t>
      </w:r>
      <w:r>
        <w:rPr>
          <w:rFonts w:ascii="Arial" w:cs="Arial" w:eastAsia="Arial" w:hAnsi="Arial"/>
          <w:sz w:val="20"/>
          <w:szCs w:val="20"/>
          <w:i w:val="1"/>
          <w:iCs w:val="1"/>
          <w:color w:val="00A1DF"/>
        </w:rPr>
        <w:t>investor.gm.com/shareholder</w:t>
      </w:r>
      <w:r>
        <w:rPr>
          <w:rFonts w:ascii="Arial" w:cs="Arial" w:eastAsia="Arial" w:hAnsi="Arial"/>
          <w:sz w:val="20"/>
          <w:szCs w:val="20"/>
          <w:color w:val="auto"/>
        </w:rPr>
        <w:t>. You may scan the QR code above with your smartphone or other mobile device to view our Proxy Statement and Annual Report.</w:t>
      </w:r>
    </w:p>
    <w:p>
      <w:pPr>
        <w:spacing w:after="0" w:line="200" w:lineRule="exact"/>
        <w:rPr>
          <w:sz w:val="20"/>
          <w:szCs w:val="20"/>
          <w:color w:val="auto"/>
        </w:rPr>
      </w:pPr>
    </w:p>
    <w:p>
      <w:pPr>
        <w:sectPr>
          <w:pgSz w:w="11900" w:h="16838" w:orient="portrait"/>
          <w:cols w:equalWidth="0" w:num="2">
            <w:col w:w="5400" w:space="720"/>
            <w:col w:w="4920"/>
          </w:cols>
          <w:pgMar w:left="320" w:top="456" w:right="539" w:bottom="1440" w:gutter="0" w:footer="0" w:header="0"/>
          <w:type w:val="continuous"/>
        </w:sectPr>
      </w:pPr>
    </w:p>
    <w:p>
      <w:pPr>
        <w:spacing w:after="0" w:line="352" w:lineRule="exact"/>
        <w:rPr>
          <w:sz w:val="20"/>
          <w:szCs w:val="20"/>
          <w:color w:val="auto"/>
        </w:rPr>
      </w:pPr>
    </w:p>
    <w:p>
      <w:pPr>
        <w:ind w:left="10980"/>
        <w:spacing w:after="0"/>
        <w:rPr>
          <w:sz w:val="20"/>
          <w:szCs w:val="20"/>
          <w:color w:val="auto"/>
        </w:rPr>
      </w:pPr>
      <w:r>
        <w:rPr>
          <w:rFonts w:ascii="Arial" w:cs="Arial" w:eastAsia="Arial" w:hAnsi="Arial"/>
          <w:sz w:val="13"/>
          <w:szCs w:val="13"/>
          <w:color w:val="0033A0"/>
        </w:rPr>
        <w:t>ii</w:t>
      </w:r>
    </w:p>
    <w:p>
      <w:pPr>
        <w:sectPr>
          <w:pgSz w:w="11900" w:h="16838" w:orient="portrait"/>
          <w:cols w:equalWidth="0" w:num="1">
            <w:col w:w="11040"/>
          </w:cols>
          <w:pgMar w:left="320" w:top="456" w:right="5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Helpful Resources</w:t>
      </w: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Annual Meeting: </w:t>
      </w:r>
      <w:r>
        <w:rPr>
          <w:rFonts w:ascii="Arial" w:cs="Arial" w:eastAsia="Arial" w:hAnsi="Arial"/>
          <w:sz w:val="20"/>
          <w:szCs w:val="20"/>
          <w:i w:val="1"/>
          <w:iCs w:val="1"/>
          <w:color w:val="00A1DF"/>
        </w:rPr>
        <w:t>investor.gm.com/shareholder</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-139065</wp:posOffset>
            </wp:positionV>
            <wp:extent cx="3320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20"/>
          <w:szCs w:val="20"/>
          <w:i w:val="1"/>
          <w:iCs w:val="1"/>
          <w:color w:val="auto"/>
        </w:rPr>
        <w:t>Annual Report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Governance Documents: </w:t>
      </w:r>
      <w:r>
        <w:rPr>
          <w:rFonts w:ascii="Arial" w:cs="Arial" w:eastAsia="Arial" w:hAnsi="Arial"/>
          <w:sz w:val="20"/>
          <w:szCs w:val="20"/>
          <w:i w:val="1"/>
          <w:iCs w:val="1"/>
          <w:color w:val="00A1DF"/>
        </w:rPr>
        <w:t>investor.gm.com/resources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Board Committee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-139065</wp:posOffset>
            </wp:positionV>
            <wp:extent cx="3320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ind w:left="380" w:right="1340"/>
        <w:spacing w:after="0" w:line="253" w:lineRule="auto"/>
        <w:rPr>
          <w:sz w:val="20"/>
          <w:szCs w:val="20"/>
          <w:color w:val="auto"/>
        </w:rPr>
      </w:pPr>
      <w:r>
        <w:rPr>
          <w:rFonts w:ascii="Arial" w:cs="Arial" w:eastAsia="Arial" w:hAnsi="Arial"/>
          <w:sz w:val="19"/>
          <w:szCs w:val="19"/>
          <w:i w:val="1"/>
          <w:iCs w:val="1"/>
          <w:color w:val="auto"/>
        </w:rPr>
        <w:t>Bylaws and Certificate of Incorporation Corporate Governance Guidelines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Key Compliance Policies: </w:t>
      </w:r>
      <w:r>
        <w:rPr>
          <w:rFonts w:ascii="Arial" w:cs="Arial" w:eastAsia="Arial" w:hAnsi="Arial"/>
          <w:sz w:val="20"/>
          <w:szCs w:val="20"/>
          <w:i w:val="1"/>
          <w:iCs w:val="1"/>
          <w:color w:val="00A1DF"/>
        </w:rPr>
        <w:t>investor.gm.com/resources</w:t>
      </w:r>
    </w:p>
    <w:p>
      <w:pPr>
        <w:spacing w:after="0" w:line="55" w:lineRule="exact"/>
        <w:rPr>
          <w:sz w:val="20"/>
          <w:szCs w:val="20"/>
          <w:color w:val="auto"/>
        </w:rPr>
      </w:pPr>
    </w:p>
    <w:p>
      <w:pPr>
        <w:ind w:left="600" w:right="380" w:hanging="217"/>
        <w:spacing w:after="0" w:line="233" w:lineRule="auto"/>
        <w:rPr>
          <w:sz w:val="20"/>
          <w:szCs w:val="20"/>
          <w:color w:val="auto"/>
        </w:rPr>
      </w:pPr>
      <w:r>
        <w:rPr>
          <w:rFonts w:ascii="Arial" w:cs="Arial" w:eastAsia="Arial" w:hAnsi="Arial"/>
          <w:sz w:val="20"/>
          <w:szCs w:val="20"/>
          <w:i w:val="1"/>
          <w:iCs w:val="1"/>
          <w:color w:val="auto"/>
        </w:rPr>
        <w:t>Winning with Integrity: Our Values and Guidelines for Employee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-276225</wp:posOffset>
            </wp:positionV>
            <wp:extent cx="3320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ind w:left="380" w:right="360"/>
        <w:spacing w:after="0" w:line="230" w:lineRule="auto"/>
        <w:rPr>
          <w:sz w:val="20"/>
          <w:szCs w:val="20"/>
          <w:color w:val="auto"/>
        </w:rPr>
      </w:pPr>
      <w:r>
        <w:rPr>
          <w:rFonts w:ascii="Arial" w:cs="Arial" w:eastAsia="Arial" w:hAnsi="Arial"/>
          <w:sz w:val="20"/>
          <w:szCs w:val="20"/>
          <w:i w:val="1"/>
          <w:iCs w:val="1"/>
          <w:color w:val="auto"/>
        </w:rPr>
        <w:t>Policy on Recoupment of Incentive Compensation Related Party Transactions Policy Insider Trading Policy</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ESG Policies: </w:t>
      </w:r>
      <w:r>
        <w:rPr>
          <w:rFonts w:ascii="Arial" w:cs="Arial" w:eastAsia="Arial" w:hAnsi="Arial"/>
          <w:sz w:val="20"/>
          <w:szCs w:val="20"/>
          <w:i w:val="1"/>
          <w:iCs w:val="1"/>
          <w:color w:val="00A1DF"/>
        </w:rPr>
        <w:t>investor.gm.com/resources</w:t>
      </w:r>
    </w:p>
    <w:p>
      <w:pPr>
        <w:spacing w:after="0" w:line="55" w:lineRule="exact"/>
        <w:rPr>
          <w:sz w:val="20"/>
          <w:szCs w:val="20"/>
          <w:color w:val="auto"/>
        </w:rPr>
      </w:pPr>
    </w:p>
    <w:p>
      <w:pPr>
        <w:ind w:left="380" w:right="140"/>
        <w:spacing w:after="0" w:line="246" w:lineRule="auto"/>
        <w:rPr>
          <w:sz w:val="20"/>
          <w:szCs w:val="20"/>
          <w:color w:val="auto"/>
        </w:rPr>
      </w:pPr>
      <w:r>
        <w:rPr>
          <w:rFonts w:ascii="Arial" w:cs="Arial" w:eastAsia="Arial" w:hAnsi="Arial"/>
          <w:sz w:val="19"/>
          <w:szCs w:val="19"/>
          <w:i w:val="1"/>
          <w:iCs w:val="1"/>
          <w:color w:val="auto"/>
        </w:rPr>
        <w:t>Voluntary Report of 2019 Political Contributions Company Policy on Corporate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-277495</wp:posOffset>
            </wp:positionV>
            <wp:extent cx="3320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ind w:left="600"/>
        <w:spacing w:after="0" w:line="223" w:lineRule="auto"/>
        <w:rPr>
          <w:sz w:val="20"/>
          <w:szCs w:val="20"/>
          <w:color w:val="auto"/>
        </w:rPr>
      </w:pPr>
      <w:r>
        <w:rPr>
          <w:rFonts w:ascii="Arial" w:cs="Arial" w:eastAsia="Arial" w:hAnsi="Arial"/>
          <w:sz w:val="20"/>
          <w:szCs w:val="20"/>
          <w:i w:val="1"/>
          <w:iCs w:val="1"/>
          <w:color w:val="auto"/>
        </w:rPr>
        <w:t>and Expenditures</w:t>
      </w:r>
    </w:p>
    <w:p>
      <w:pPr>
        <w:ind w:left="380"/>
        <w:spacing w:after="0" w:line="223" w:lineRule="auto"/>
        <w:rPr>
          <w:sz w:val="20"/>
          <w:szCs w:val="20"/>
          <w:color w:val="auto"/>
        </w:rPr>
      </w:pPr>
      <w:r>
        <w:rPr>
          <w:rFonts w:ascii="Arial" w:cs="Arial" w:eastAsia="Arial" w:hAnsi="Arial"/>
          <w:sz w:val="20"/>
          <w:szCs w:val="20"/>
          <w:i w:val="1"/>
          <w:iCs w:val="1"/>
          <w:color w:val="auto"/>
        </w:rPr>
        <w:t>Conflict Minerals Policy</w:t>
      </w:r>
    </w:p>
    <w:p>
      <w:pPr>
        <w:ind w:left="380"/>
        <w:spacing w:after="0" w:line="223" w:lineRule="auto"/>
        <w:rPr>
          <w:sz w:val="20"/>
          <w:szCs w:val="20"/>
          <w:color w:val="auto"/>
        </w:rPr>
      </w:pPr>
      <w:r>
        <w:rPr>
          <w:rFonts w:ascii="Arial" w:cs="Arial" w:eastAsia="Arial" w:hAnsi="Arial"/>
          <w:sz w:val="20"/>
          <w:szCs w:val="20"/>
          <w:i w:val="1"/>
          <w:iCs w:val="1"/>
          <w:color w:val="auto"/>
        </w:rPr>
        <w:t>Environmental Policy</w:t>
      </w:r>
    </w:p>
    <w:p>
      <w:pPr>
        <w:ind w:left="380"/>
        <w:spacing w:after="0" w:line="224" w:lineRule="auto"/>
        <w:rPr>
          <w:sz w:val="20"/>
          <w:szCs w:val="20"/>
          <w:color w:val="auto"/>
        </w:rPr>
      </w:pPr>
      <w:r>
        <w:rPr>
          <w:rFonts w:ascii="Arial" w:cs="Arial" w:eastAsia="Arial" w:hAnsi="Arial"/>
          <w:sz w:val="20"/>
          <w:szCs w:val="20"/>
          <w:i w:val="1"/>
          <w:iCs w:val="1"/>
          <w:color w:val="auto"/>
        </w:rPr>
        <w:t>Global Human Rights Policy</w:t>
      </w:r>
    </w:p>
    <w:p>
      <w:pPr>
        <w:ind w:left="380"/>
        <w:spacing w:after="0" w:line="223" w:lineRule="auto"/>
        <w:rPr>
          <w:sz w:val="20"/>
          <w:szCs w:val="20"/>
          <w:color w:val="auto"/>
        </w:rPr>
      </w:pPr>
      <w:r>
        <w:rPr>
          <w:rFonts w:ascii="Arial" w:cs="Arial" w:eastAsia="Arial" w:hAnsi="Arial"/>
          <w:sz w:val="20"/>
          <w:szCs w:val="20"/>
          <w:i w:val="1"/>
          <w:iCs w:val="1"/>
          <w:color w:val="auto"/>
        </w:rPr>
        <w:t>Global Integrity Policy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Supplier Code of Conduct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Sustainability Report: </w:t>
      </w:r>
      <w:r>
        <w:rPr>
          <w:rFonts w:ascii="Arial" w:cs="Arial" w:eastAsia="Arial" w:hAnsi="Arial"/>
          <w:sz w:val="20"/>
          <w:szCs w:val="20"/>
          <w:i w:val="1"/>
          <w:iCs w:val="1"/>
          <w:color w:val="00A1DF"/>
        </w:rPr>
        <w:t>gmsustainability.com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3320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 xml:space="preserve">Investors Relations: </w:t>
      </w:r>
      <w:r>
        <w:rPr>
          <w:rFonts w:ascii="Arial" w:cs="Arial" w:eastAsia="Arial" w:hAnsi="Arial"/>
          <w:sz w:val="19"/>
          <w:szCs w:val="19"/>
          <w:i w:val="1"/>
          <w:iCs w:val="1"/>
          <w:color w:val="00A1DF"/>
        </w:rPr>
        <w:t>investor.gm.com/investor-relations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48895</wp:posOffset>
            </wp:positionV>
            <wp:extent cx="3320415" cy="2360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0415" cy="2360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Defined Terms and Commonly Used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-1282700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40" w:type="dxa"/>
            <w:vAlign w:val="bottom"/>
            <w:tcBorders>
              <w:top w:val="single" w:sz="8" w:color="auto"/>
            </w:tcBorders>
          </w:tcPr>
          <w:p>
            <w:pPr>
              <w:ind w:left="60"/>
              <w:spacing w:after="0" w:line="224" w:lineRule="exact"/>
              <w:rPr>
                <w:sz w:val="20"/>
                <w:szCs w:val="20"/>
                <w:color w:val="auto"/>
              </w:rPr>
            </w:pPr>
            <w:r>
              <w:rPr>
                <w:rFonts w:ascii="Arial" w:cs="Arial" w:eastAsia="Arial" w:hAnsi="Arial"/>
                <w:sz w:val="20"/>
                <w:szCs w:val="20"/>
                <w:b w:val="1"/>
                <w:bCs w:val="1"/>
                <w:color w:val="auto"/>
              </w:rPr>
              <w:t>Annual Meeting</w:t>
            </w:r>
          </w:p>
        </w:tc>
        <w:tc>
          <w:tcPr>
            <w:tcW w:w="3200" w:type="dxa"/>
            <w:vAlign w:val="bottom"/>
            <w:tcBorders>
              <w:top w:val="single" w:sz="8" w:color="auto"/>
            </w:tcBorders>
          </w:tcPr>
          <w:p>
            <w:pPr>
              <w:ind w:left="200"/>
              <w:spacing w:after="0" w:line="224" w:lineRule="exact"/>
              <w:rPr>
                <w:sz w:val="20"/>
                <w:szCs w:val="20"/>
                <w:color w:val="auto"/>
              </w:rPr>
            </w:pPr>
            <w:r>
              <w:rPr>
                <w:rFonts w:ascii="Arial" w:cs="Arial" w:eastAsia="Arial" w:hAnsi="Arial"/>
                <w:sz w:val="20"/>
                <w:szCs w:val="20"/>
                <w:color w:val="auto"/>
              </w:rPr>
              <w:t>GM’s Annual Meeting of</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Shareholder to be held on</w:t>
            </w:r>
          </w:p>
        </w:tc>
      </w:tr>
      <w:tr>
        <w:trPr>
          <w:trHeight w:val="235"/>
        </w:trPr>
        <w:tc>
          <w:tcPr>
            <w:tcW w:w="214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20"/>
                <w:szCs w:val="20"/>
                <w:color w:val="auto"/>
              </w:rPr>
              <w:t>June 16, 2020</w:t>
            </w:r>
          </w:p>
        </w:tc>
      </w:tr>
      <w:tr>
        <w:trPr>
          <w:trHeight w:val="36"/>
        </w:trPr>
        <w:tc>
          <w:tcPr>
            <w:tcW w:w="2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57"/>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AV</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Autonomous Vehicle</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CEO</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Chief Executive Officer</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CFO</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Chief Financial Officer</w:t>
            </w:r>
          </w:p>
        </w:tc>
      </w:tr>
      <w:tr>
        <w:trPr>
          <w:trHeight w:val="208"/>
        </w:trPr>
        <w:tc>
          <w:tcPr>
            <w:tcW w:w="214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Code of Conduct</w:t>
            </w:r>
          </w:p>
        </w:tc>
        <w:tc>
          <w:tcPr>
            <w:tcW w:w="3200" w:type="dxa"/>
            <w:vAlign w:val="bottom"/>
          </w:tcPr>
          <w:p>
            <w:pPr>
              <w:ind w:left="200"/>
              <w:spacing w:after="0" w:line="207" w:lineRule="exact"/>
              <w:rPr>
                <w:sz w:val="20"/>
                <w:szCs w:val="20"/>
                <w:color w:val="auto"/>
              </w:rPr>
            </w:pPr>
            <w:r>
              <w:rPr>
                <w:rFonts w:ascii="Arial" w:cs="Arial" w:eastAsia="Arial" w:hAnsi="Arial"/>
                <w:sz w:val="20"/>
                <w:szCs w:val="20"/>
                <w:color w:val="auto"/>
                <w:w w:val="98"/>
              </w:rPr>
              <w:t>Winning with Integrity: Our Values</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and Guidelines for Employee</w:t>
            </w:r>
          </w:p>
        </w:tc>
      </w:tr>
      <w:tr>
        <w:trPr>
          <w:trHeight w:val="235"/>
        </w:trPr>
        <w:tc>
          <w:tcPr>
            <w:tcW w:w="214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20"/>
                <w:szCs w:val="20"/>
                <w:color w:val="auto"/>
              </w:rPr>
              <w:t>Conduct</w:t>
            </w:r>
          </w:p>
        </w:tc>
      </w:tr>
      <w:tr>
        <w:trPr>
          <w:trHeight w:val="36"/>
        </w:trPr>
        <w:tc>
          <w:tcPr>
            <w:tcW w:w="2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04"/>
        </w:trPr>
        <w:tc>
          <w:tcPr>
            <w:tcW w:w="2140" w:type="dxa"/>
            <w:vAlign w:val="bottom"/>
          </w:tcPr>
          <w:p>
            <w:pPr>
              <w:ind w:left="60"/>
              <w:spacing w:after="0" w:line="204" w:lineRule="exact"/>
              <w:rPr>
                <w:sz w:val="20"/>
                <w:szCs w:val="20"/>
                <w:color w:val="auto"/>
              </w:rPr>
            </w:pPr>
            <w:r>
              <w:rPr>
                <w:rFonts w:ascii="Arial" w:cs="Arial" w:eastAsia="Arial" w:hAnsi="Arial"/>
                <w:sz w:val="20"/>
                <w:szCs w:val="20"/>
                <w:b w:val="1"/>
                <w:bCs w:val="1"/>
                <w:color w:val="auto"/>
              </w:rPr>
              <w:t>Committees</w:t>
            </w:r>
          </w:p>
        </w:tc>
        <w:tc>
          <w:tcPr>
            <w:tcW w:w="3200" w:type="dxa"/>
            <w:vAlign w:val="bottom"/>
          </w:tcPr>
          <w:p>
            <w:pPr>
              <w:ind w:left="200"/>
              <w:spacing w:after="0" w:line="204" w:lineRule="exact"/>
              <w:rPr>
                <w:sz w:val="20"/>
                <w:szCs w:val="20"/>
                <w:color w:val="auto"/>
              </w:rPr>
            </w:pPr>
            <w:r>
              <w:rPr>
                <w:rFonts w:ascii="Arial" w:cs="Arial" w:eastAsia="Arial" w:hAnsi="Arial"/>
                <w:sz w:val="20"/>
                <w:szCs w:val="20"/>
                <w:color w:val="auto"/>
              </w:rPr>
              <w:t>Audit Committee</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Executive Committee</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Executive Compensation</w:t>
            </w:r>
          </w:p>
        </w:tc>
      </w:tr>
      <w:tr>
        <w:trPr>
          <w:trHeight w:val="214"/>
        </w:trPr>
        <w:tc>
          <w:tcPr>
            <w:tcW w:w="2140" w:type="dxa"/>
            <w:vAlign w:val="bottom"/>
          </w:tcPr>
          <w:p>
            <w:pPr>
              <w:spacing w:after="0"/>
              <w:rPr>
                <w:sz w:val="18"/>
                <w:szCs w:val="18"/>
                <w:color w:val="auto"/>
              </w:rPr>
            </w:pPr>
          </w:p>
        </w:tc>
        <w:tc>
          <w:tcPr>
            <w:tcW w:w="3200" w:type="dxa"/>
            <w:vAlign w:val="bottom"/>
          </w:tcPr>
          <w:p>
            <w:pPr>
              <w:ind w:left="400"/>
              <w:spacing w:after="0" w:line="214" w:lineRule="exact"/>
              <w:rPr>
                <w:sz w:val="20"/>
                <w:szCs w:val="20"/>
                <w:color w:val="auto"/>
              </w:rPr>
            </w:pPr>
            <w:r>
              <w:rPr>
                <w:rFonts w:ascii="Arial" w:cs="Arial" w:eastAsia="Arial" w:hAnsi="Arial"/>
                <w:sz w:val="20"/>
                <w:szCs w:val="20"/>
                <w:color w:val="auto"/>
              </w:rPr>
              <w:t>Committee</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Governance and Corporate</w:t>
            </w:r>
          </w:p>
        </w:tc>
      </w:tr>
      <w:tr>
        <w:trPr>
          <w:trHeight w:val="214"/>
        </w:trPr>
        <w:tc>
          <w:tcPr>
            <w:tcW w:w="2140" w:type="dxa"/>
            <w:vAlign w:val="bottom"/>
          </w:tcPr>
          <w:p>
            <w:pPr>
              <w:spacing w:after="0"/>
              <w:rPr>
                <w:sz w:val="18"/>
                <w:szCs w:val="18"/>
                <w:color w:val="auto"/>
              </w:rPr>
            </w:pPr>
          </w:p>
        </w:tc>
        <w:tc>
          <w:tcPr>
            <w:tcW w:w="3200" w:type="dxa"/>
            <w:vAlign w:val="bottom"/>
          </w:tcPr>
          <w:p>
            <w:pPr>
              <w:ind w:left="400"/>
              <w:spacing w:after="0" w:line="214" w:lineRule="exact"/>
              <w:rPr>
                <w:sz w:val="20"/>
                <w:szCs w:val="20"/>
                <w:color w:val="auto"/>
              </w:rPr>
            </w:pPr>
            <w:r>
              <w:rPr>
                <w:rFonts w:ascii="Arial" w:cs="Arial" w:eastAsia="Arial" w:hAnsi="Arial"/>
                <w:sz w:val="20"/>
                <w:szCs w:val="20"/>
                <w:color w:val="auto"/>
              </w:rPr>
              <w:t>Responsibility Committee</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Finance Committee</w:t>
            </w:r>
          </w:p>
        </w:tc>
      </w:tr>
      <w:tr>
        <w:trPr>
          <w:trHeight w:val="214"/>
        </w:trPr>
        <w:tc>
          <w:tcPr>
            <w:tcW w:w="2140" w:type="dxa"/>
            <w:vAlign w:val="bottom"/>
          </w:tcPr>
          <w:p>
            <w:pPr>
              <w:spacing w:after="0"/>
              <w:rPr>
                <w:sz w:val="18"/>
                <w:szCs w:val="18"/>
                <w:color w:val="auto"/>
              </w:rPr>
            </w:pPr>
          </w:p>
        </w:tc>
        <w:tc>
          <w:tcPr>
            <w:tcW w:w="3200" w:type="dxa"/>
            <w:vAlign w:val="bottom"/>
          </w:tcPr>
          <w:p>
            <w:pPr>
              <w:ind w:left="200"/>
              <w:spacing w:after="0" w:line="214" w:lineRule="exact"/>
              <w:rPr>
                <w:sz w:val="20"/>
                <w:szCs w:val="20"/>
                <w:color w:val="auto"/>
              </w:rPr>
            </w:pPr>
            <w:r>
              <w:rPr>
                <w:rFonts w:ascii="Arial" w:cs="Arial" w:eastAsia="Arial" w:hAnsi="Arial"/>
                <w:sz w:val="20"/>
                <w:szCs w:val="20"/>
                <w:color w:val="auto"/>
              </w:rPr>
              <w:t>Risk and Cybersecurity</w:t>
            </w:r>
          </w:p>
        </w:tc>
      </w:tr>
      <w:tr>
        <w:trPr>
          <w:trHeight w:val="235"/>
        </w:trPr>
        <w:tc>
          <w:tcPr>
            <w:tcW w:w="2140" w:type="dxa"/>
            <w:vAlign w:val="bottom"/>
          </w:tcPr>
          <w:p>
            <w:pPr>
              <w:spacing w:after="0"/>
              <w:rPr>
                <w:sz w:val="20"/>
                <w:szCs w:val="20"/>
                <w:color w:val="auto"/>
              </w:rPr>
            </w:pPr>
          </w:p>
        </w:tc>
        <w:tc>
          <w:tcPr>
            <w:tcW w:w="3200" w:type="dxa"/>
            <w:vAlign w:val="bottom"/>
          </w:tcPr>
          <w:p>
            <w:pPr>
              <w:ind w:left="400"/>
              <w:spacing w:after="0"/>
              <w:rPr>
                <w:sz w:val="20"/>
                <w:szCs w:val="20"/>
                <w:color w:val="auto"/>
              </w:rPr>
            </w:pPr>
            <w:r>
              <w:rPr>
                <w:rFonts w:ascii="Arial" w:cs="Arial" w:eastAsia="Arial" w:hAnsi="Arial"/>
                <w:sz w:val="20"/>
                <w:szCs w:val="20"/>
                <w:color w:val="auto"/>
              </w:rPr>
              <w:t>Committee</w:t>
            </w:r>
          </w:p>
        </w:tc>
      </w:tr>
      <w:tr>
        <w:trPr>
          <w:trHeight w:val="49"/>
        </w:trPr>
        <w:tc>
          <w:tcPr>
            <w:tcW w:w="214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r>
      <w:tr>
        <w:trPr>
          <w:trHeight w:val="257"/>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DSU</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Deferred Share Unit</w:t>
            </w:r>
          </w:p>
        </w:tc>
      </w:tr>
      <w:tr>
        <w:trPr>
          <w:trHeight w:val="208"/>
        </w:trPr>
        <w:tc>
          <w:tcPr>
            <w:tcW w:w="214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ESG</w:t>
            </w:r>
          </w:p>
        </w:tc>
        <w:tc>
          <w:tcPr>
            <w:tcW w:w="3200" w:type="dxa"/>
            <w:vAlign w:val="bottom"/>
          </w:tcPr>
          <w:p>
            <w:pPr>
              <w:ind w:left="200"/>
              <w:spacing w:after="0" w:line="207" w:lineRule="exact"/>
              <w:rPr>
                <w:sz w:val="20"/>
                <w:szCs w:val="20"/>
                <w:color w:val="auto"/>
              </w:rPr>
            </w:pPr>
            <w:r>
              <w:rPr>
                <w:rFonts w:ascii="Arial" w:cs="Arial" w:eastAsia="Arial" w:hAnsi="Arial"/>
                <w:sz w:val="20"/>
                <w:szCs w:val="20"/>
                <w:color w:val="auto"/>
              </w:rPr>
              <w:t>Environmental, Social, and</w:t>
            </w:r>
          </w:p>
        </w:tc>
      </w:tr>
      <w:tr>
        <w:trPr>
          <w:trHeight w:val="235"/>
        </w:trPr>
        <w:tc>
          <w:tcPr>
            <w:tcW w:w="214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20"/>
                <w:szCs w:val="20"/>
                <w:color w:val="auto"/>
              </w:rPr>
              <w:t>Governance</w:t>
            </w:r>
          </w:p>
        </w:tc>
      </w:tr>
      <w:tr>
        <w:trPr>
          <w:trHeight w:val="36"/>
        </w:trPr>
        <w:tc>
          <w:tcPr>
            <w:tcW w:w="2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57"/>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EV</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Electric Vehicle</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EY</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Ernst &amp; Young LLP</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GM or the Company</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General Motors Company</w:t>
            </w:r>
          </w:p>
        </w:tc>
      </w:tr>
      <w:tr>
        <w:trPr>
          <w:trHeight w:val="184"/>
        </w:trPr>
        <w:tc>
          <w:tcPr>
            <w:tcW w:w="2140" w:type="dxa"/>
            <w:vAlign w:val="bottom"/>
          </w:tcPr>
          <w:p>
            <w:pPr>
              <w:ind w:left="60"/>
              <w:spacing w:after="0" w:line="184" w:lineRule="exact"/>
              <w:rPr>
                <w:sz w:val="20"/>
                <w:szCs w:val="20"/>
                <w:color w:val="auto"/>
              </w:rPr>
            </w:pPr>
            <w:r>
              <w:rPr>
                <w:rFonts w:ascii="Arial" w:cs="Arial" w:eastAsia="Arial" w:hAnsi="Arial"/>
                <w:sz w:val="20"/>
                <w:szCs w:val="20"/>
                <w:b w:val="1"/>
                <w:bCs w:val="1"/>
                <w:color w:val="auto"/>
              </w:rPr>
              <w:t>Governance</w:t>
            </w:r>
          </w:p>
        </w:tc>
        <w:tc>
          <w:tcPr>
            <w:tcW w:w="3200" w:type="dxa"/>
            <w:vAlign w:val="bottom"/>
          </w:tcPr>
          <w:p>
            <w:pPr>
              <w:ind w:left="200"/>
              <w:spacing w:after="0" w:line="184" w:lineRule="exact"/>
              <w:rPr>
                <w:sz w:val="20"/>
                <w:szCs w:val="20"/>
                <w:color w:val="auto"/>
              </w:rPr>
            </w:pPr>
            <w:r>
              <w:rPr>
                <w:rFonts w:ascii="Arial" w:cs="Arial" w:eastAsia="Arial" w:hAnsi="Arial"/>
                <w:sz w:val="20"/>
                <w:szCs w:val="20"/>
                <w:color w:val="auto"/>
              </w:rPr>
              <w:t>Governance and Corporate</w:t>
            </w:r>
          </w:p>
        </w:tc>
      </w:tr>
      <w:tr>
        <w:trPr>
          <w:trHeight w:val="259"/>
        </w:trPr>
        <w:tc>
          <w:tcPr>
            <w:tcW w:w="2140" w:type="dxa"/>
            <w:vAlign w:val="bottom"/>
          </w:tcPr>
          <w:p>
            <w:pPr>
              <w:ind w:left="60"/>
              <w:spacing w:after="0"/>
              <w:rPr>
                <w:sz w:val="20"/>
                <w:szCs w:val="20"/>
                <w:color w:val="auto"/>
              </w:rPr>
            </w:pPr>
            <w:r>
              <w:rPr>
                <w:rFonts w:ascii="Arial" w:cs="Arial" w:eastAsia="Arial" w:hAnsi="Arial"/>
                <w:sz w:val="20"/>
                <w:szCs w:val="20"/>
                <w:b w:val="1"/>
                <w:bCs w:val="1"/>
                <w:color w:val="auto"/>
              </w:rPr>
              <w:t>Committee</w:t>
            </w:r>
          </w:p>
        </w:tc>
        <w:tc>
          <w:tcPr>
            <w:tcW w:w="3200" w:type="dxa"/>
            <w:vAlign w:val="bottom"/>
          </w:tcPr>
          <w:p>
            <w:pPr>
              <w:ind w:left="200"/>
              <w:spacing w:after="0"/>
              <w:rPr>
                <w:sz w:val="20"/>
                <w:szCs w:val="20"/>
                <w:color w:val="auto"/>
              </w:rPr>
            </w:pPr>
            <w:r>
              <w:rPr>
                <w:rFonts w:ascii="Arial" w:cs="Arial" w:eastAsia="Arial" w:hAnsi="Arial"/>
                <w:sz w:val="20"/>
                <w:szCs w:val="20"/>
                <w:color w:val="auto"/>
              </w:rPr>
              <w:t>Responsibility Committee</w:t>
            </w:r>
          </w:p>
        </w:tc>
      </w:tr>
      <w:tr>
        <w:trPr>
          <w:trHeight w:val="36"/>
        </w:trPr>
        <w:tc>
          <w:tcPr>
            <w:tcW w:w="2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57"/>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LTIP</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Long-Term Incentive Plan</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NEO</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Named Executive Officer</w:t>
            </w:r>
          </w:p>
        </w:tc>
      </w:tr>
      <w:tr>
        <w:trPr>
          <w:trHeight w:val="261"/>
        </w:trPr>
        <w:tc>
          <w:tcPr>
            <w:tcW w:w="21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NYSE</w:t>
            </w: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New York Stock Exchange</w:t>
            </w:r>
          </w:p>
        </w:tc>
      </w:tr>
      <w:tr>
        <w:trPr>
          <w:trHeight w:val="208"/>
        </w:trPr>
        <w:tc>
          <w:tcPr>
            <w:tcW w:w="2140" w:type="dxa"/>
            <w:vAlign w:val="bottom"/>
          </w:tcPr>
          <w:p>
            <w:pPr>
              <w:ind w:left="60"/>
              <w:spacing w:after="0" w:line="207" w:lineRule="exact"/>
              <w:rPr>
                <w:sz w:val="20"/>
                <w:szCs w:val="20"/>
                <w:color w:val="auto"/>
              </w:rPr>
            </w:pPr>
            <w:r>
              <w:rPr>
                <w:rFonts w:ascii="Arial" w:cs="Arial" w:eastAsia="Arial" w:hAnsi="Arial"/>
                <w:sz w:val="20"/>
                <w:szCs w:val="20"/>
                <w:b w:val="1"/>
                <w:bCs w:val="1"/>
                <w:color w:val="auto"/>
              </w:rPr>
              <w:t>SEC</w:t>
            </w:r>
          </w:p>
        </w:tc>
        <w:tc>
          <w:tcPr>
            <w:tcW w:w="3200" w:type="dxa"/>
            <w:vAlign w:val="bottom"/>
          </w:tcPr>
          <w:p>
            <w:pPr>
              <w:ind w:left="200"/>
              <w:spacing w:after="0" w:line="207" w:lineRule="exact"/>
              <w:rPr>
                <w:sz w:val="20"/>
                <w:szCs w:val="20"/>
                <w:color w:val="auto"/>
              </w:rPr>
            </w:pPr>
            <w:r>
              <w:rPr>
                <w:rFonts w:ascii="Arial" w:cs="Arial" w:eastAsia="Arial" w:hAnsi="Arial"/>
                <w:sz w:val="20"/>
                <w:szCs w:val="20"/>
                <w:color w:val="auto"/>
              </w:rPr>
              <w:t>U.S. Securities and Exchange</w:t>
            </w:r>
          </w:p>
        </w:tc>
      </w:tr>
      <w:tr>
        <w:trPr>
          <w:trHeight w:val="235"/>
        </w:trPr>
        <w:tc>
          <w:tcPr>
            <w:tcW w:w="214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20"/>
                <w:szCs w:val="20"/>
                <w:color w:val="auto"/>
              </w:rPr>
              <w:t>Commission</w:t>
            </w:r>
          </w:p>
        </w:tc>
      </w:tr>
      <w:tr>
        <w:trPr>
          <w:trHeight w:val="36"/>
        </w:trPr>
        <w:tc>
          <w:tcPr>
            <w:tcW w:w="2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1613535</wp:posOffset>
            </wp:positionV>
            <wp:extent cx="6793865" cy="101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660"/>
            <w:col w:w="534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iii</w:t>
      </w:r>
    </w:p>
    <w:p>
      <w:pPr>
        <w:sectPr>
          <w:pgSz w:w="11900" w:h="16838" w:orient="portrait"/>
          <w:cols w:equalWidth="0" w:num="1">
            <w:col w:w="11080"/>
          </w:cols>
          <w:pgMar w:left="320" w:top="456"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Table of Contents</w:t>
      </w:r>
    </w:p>
    <w:p>
      <w:pPr>
        <w:spacing w:after="0" w:line="274"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4740" w:type="dxa"/>
            <w:vAlign w:val="bottom"/>
            <w:gridSpan w:val="16"/>
          </w:tcPr>
          <w:p>
            <w:pPr>
              <w:ind w:left="20"/>
              <w:spacing w:after="0"/>
              <w:rPr>
                <w:rFonts w:ascii="Arial" w:cs="Arial" w:eastAsia="Arial" w:hAnsi="Arial"/>
                <w:sz w:val="20"/>
                <w:szCs w:val="20"/>
                <w:u w:val="single" w:color="auto"/>
                <w:color w:val="0000EE"/>
              </w:rPr>
            </w:pPr>
            <w:hyperlink w:anchor="page9">
              <w:r>
                <w:rPr>
                  <w:rFonts w:ascii="Arial" w:cs="Arial" w:eastAsia="Arial" w:hAnsi="Arial"/>
                  <w:sz w:val="20"/>
                  <w:szCs w:val="20"/>
                  <w:u w:val="single" w:color="auto"/>
                  <w:color w:val="0000EE"/>
                </w:rPr>
                <w:t>PROXY VOTING ROADMAP</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1</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10">
              <w:r>
                <w:rPr>
                  <w:rFonts w:ascii="Arial" w:cs="Arial" w:eastAsia="Arial" w:hAnsi="Arial"/>
                  <w:sz w:val="20"/>
                  <w:szCs w:val="20"/>
                  <w:u w:val="single" w:color="auto"/>
                  <w:color w:val="0000EE"/>
                </w:rPr>
                <w:t>BOARD OF DIRECTORS</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2</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740" w:type="dxa"/>
            <w:vAlign w:val="bottom"/>
            <w:gridSpan w:val="16"/>
          </w:tcPr>
          <w:p>
            <w:pPr>
              <w:ind w:left="2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Diversity of Skills, Qualifications, and Experience</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4740" w:type="dxa"/>
            <w:vAlign w:val="bottom"/>
            <w:gridSpan w:val="16"/>
          </w:tcPr>
          <w:p>
            <w:pPr>
              <w:ind w:left="2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Director Biographies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4"/>
        </w:trPr>
        <w:tc>
          <w:tcPr>
            <w:tcW w:w="4740" w:type="dxa"/>
            <w:vAlign w:val="bottom"/>
            <w:gridSpan w:val="16"/>
          </w:tcPr>
          <w:p>
            <w:pPr>
              <w:ind w:left="20"/>
              <w:spacing w:after="0"/>
              <w:rPr>
                <w:rFonts w:ascii="Arial" w:cs="Arial" w:eastAsia="Arial" w:hAnsi="Arial"/>
                <w:sz w:val="20"/>
                <w:szCs w:val="20"/>
                <w:u w:val="single" w:color="auto"/>
                <w:color w:val="0000EE"/>
              </w:rPr>
            </w:pPr>
            <w:hyperlink w:anchor="page18">
              <w:r>
                <w:rPr>
                  <w:rFonts w:ascii="Arial" w:cs="Arial" w:eastAsia="Arial" w:hAnsi="Arial"/>
                  <w:sz w:val="20"/>
                  <w:szCs w:val="20"/>
                  <w:u w:val="single" w:color="auto"/>
                  <w:color w:val="0000EE"/>
                </w:rPr>
                <w:t>NON-EMPLOYEE DIRECTOR COMPENSATION</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10</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22">
              <w:r>
                <w:rPr>
                  <w:rFonts w:ascii="Arial" w:cs="Arial" w:eastAsia="Arial" w:hAnsi="Arial"/>
                  <w:sz w:val="20"/>
                  <w:szCs w:val="20"/>
                  <w:u w:val="single" w:color="auto"/>
                  <w:color w:val="0000EE"/>
                </w:rPr>
                <w:t>CORPORATE GOVERNANCE</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14</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740" w:type="dxa"/>
            <w:vAlign w:val="bottom"/>
            <w:gridSpan w:val="16"/>
          </w:tcPr>
          <w:p>
            <w:pPr>
              <w:ind w:left="2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The Board of Directors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Board Leadership Structure and Composition</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Message from the Lead Independent Director</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Committees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Board and Committee Oversight of Risk</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Your Board’s Governance Policies and Practices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Shareholder Engagement</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Shareholder Protections and Governance Best Practices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4740" w:type="dxa"/>
            <w:vAlign w:val="bottom"/>
            <w:gridSpan w:val="16"/>
          </w:tcPr>
          <w:p>
            <w:pPr>
              <w:ind w:left="2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Certain Relationships and Related Party Transactions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04"/>
        </w:trPr>
        <w:tc>
          <w:tcPr>
            <w:tcW w:w="4740" w:type="dxa"/>
            <w:vAlign w:val="bottom"/>
            <w:gridSpan w:val="16"/>
          </w:tcPr>
          <w:p>
            <w:pPr>
              <w:ind w:left="20"/>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SPOTLIGHT ON KEY ESG INITIATIVES</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30</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SECURITY OWNERSHIP INFORMATION</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33</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43">
              <w:r>
                <w:rPr>
                  <w:rFonts w:ascii="Arial" w:cs="Arial" w:eastAsia="Arial" w:hAnsi="Arial"/>
                  <w:sz w:val="20"/>
                  <w:szCs w:val="20"/>
                  <w:u w:val="single" w:color="auto"/>
                  <w:color w:val="0000EE"/>
                </w:rPr>
                <w:t>AUDIT COMMITTEE REPORT</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35</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45">
              <w:r>
                <w:rPr>
                  <w:rFonts w:ascii="Arial" w:cs="Arial" w:eastAsia="Arial" w:hAnsi="Arial"/>
                  <w:sz w:val="20"/>
                  <w:szCs w:val="20"/>
                  <w:u w:val="single" w:color="auto"/>
                  <w:color w:val="0000EE"/>
                </w:rPr>
                <w:t>EXECUTIVE COMPENSATION</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37</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740" w:type="dxa"/>
            <w:vAlign w:val="bottom"/>
            <w:gridSpan w:val="16"/>
          </w:tcPr>
          <w:p>
            <w:pPr>
              <w:ind w:left="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Compensation Overview</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Compensation Principles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Compensation Elements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Performance Measures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Performance Results and Compensation Decisions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Compensation Policies and Governance Practices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Compensation Committee Report</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Executive Compensation Tables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7"/>
        </w:trPr>
        <w:tc>
          <w:tcPr>
            <w:tcW w:w="4740" w:type="dxa"/>
            <w:vAlign w:val="bottom"/>
            <w:gridSpan w:val="16"/>
          </w:tcPr>
          <w:p>
            <w:pPr>
              <w:ind w:left="20"/>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CEO Pay Ratio</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3"/>
        </w:trPr>
        <w:tc>
          <w:tcPr>
            <w:tcW w:w="4740" w:type="dxa"/>
            <w:vAlign w:val="bottom"/>
            <w:gridSpan w:val="16"/>
          </w:tcPr>
          <w:p>
            <w:pPr>
              <w:ind w:left="2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Equity Compensation Plan Information</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04"/>
        </w:trPr>
        <w:tc>
          <w:tcPr>
            <w:tcW w:w="4740" w:type="dxa"/>
            <w:vAlign w:val="bottom"/>
            <w:gridSpan w:val="16"/>
          </w:tcPr>
          <w:p>
            <w:pPr>
              <w:ind w:left="20"/>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BOARD PROPOSALS</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75</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40" w:type="dxa"/>
            <w:vAlign w:val="bottom"/>
            <w:gridSpan w:val="16"/>
          </w:tcPr>
          <w:p>
            <w:pPr>
              <w:ind w:left="20"/>
              <w:spacing w:after="0"/>
              <w:rPr>
                <w:rFonts w:ascii="Arial" w:cs="Arial" w:eastAsia="Arial" w:hAnsi="Arial"/>
                <w:sz w:val="16"/>
                <w:szCs w:val="16"/>
                <w:b w:val="1"/>
                <w:bCs w:val="1"/>
                <w:u w:val="single" w:color="auto"/>
                <w:color w:val="0000EE"/>
              </w:rPr>
            </w:pPr>
            <w:hyperlink w:anchor="page83">
              <w:r>
                <w:rPr>
                  <w:rFonts w:ascii="Arial" w:cs="Arial" w:eastAsia="Arial" w:hAnsi="Arial"/>
                  <w:sz w:val="16"/>
                  <w:szCs w:val="16"/>
                  <w:b w:val="1"/>
                  <w:bCs w:val="1"/>
                  <w:u w:val="single" w:color="auto"/>
                  <w:color w:val="0000EE"/>
                </w:rPr>
                <w:t xml:space="preserve">Item No. 1 </w:t>
              </w:r>
              <w:r>
                <w:rPr>
                  <w:rFonts w:ascii="Arial" w:cs="Arial" w:eastAsia="Arial" w:hAnsi="Arial"/>
                  <w:sz w:val="16"/>
                  <w:szCs w:val="16"/>
                  <w:u w:val="single" w:color="auto"/>
                  <w:color w:val="0000EE"/>
                </w:rPr>
                <w:t>– Election of Directors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9"/>
        </w:trPr>
        <w:tc>
          <w:tcPr>
            <w:tcW w:w="4740" w:type="dxa"/>
            <w:vAlign w:val="bottom"/>
            <w:gridSpan w:val="16"/>
          </w:tcPr>
          <w:p>
            <w:pPr>
              <w:ind w:left="20"/>
              <w:spacing w:after="0" w:line="178" w:lineRule="exact"/>
              <w:rPr>
                <w:rFonts w:ascii="Arial" w:cs="Arial" w:eastAsia="Arial" w:hAnsi="Arial"/>
                <w:sz w:val="16"/>
                <w:szCs w:val="16"/>
                <w:b w:val="1"/>
                <w:bCs w:val="1"/>
                <w:color w:val="0000EE"/>
              </w:rPr>
            </w:pPr>
            <w:hyperlink w:anchor="page84">
              <w:r>
                <w:rPr>
                  <w:rFonts w:ascii="Arial" w:cs="Arial" w:eastAsia="Arial" w:hAnsi="Arial"/>
                  <w:sz w:val="16"/>
                  <w:szCs w:val="16"/>
                  <w:b w:val="1"/>
                  <w:bCs w:val="1"/>
                  <w:color w:val="0000EE"/>
                </w:rPr>
                <w:t xml:space="preserve">Item No. 2 </w:t>
              </w:r>
              <w:r>
                <w:rPr>
                  <w:rFonts w:ascii="Arial" w:cs="Arial" w:eastAsia="Arial" w:hAnsi="Arial"/>
                  <w:sz w:val="16"/>
                  <w:szCs w:val="16"/>
                  <w:color w:val="0000EE"/>
                </w:rPr>
                <w:t>– Advisory Approval of Named Executive Officer</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80" w:type="dxa"/>
            <w:vAlign w:val="bottom"/>
            <w:tcBorders>
              <w:top w:val="single" w:sz="8" w:color="0000EE"/>
            </w:tcBorders>
            <w:gridSpan w:val="11"/>
          </w:tcPr>
          <w:p>
            <w:pPr>
              <w:spacing w:after="0" w:line="168" w:lineRule="exact"/>
              <w:rPr>
                <w:rFonts w:ascii="Arial" w:cs="Arial" w:eastAsia="Arial" w:hAnsi="Arial"/>
                <w:sz w:val="16"/>
                <w:szCs w:val="16"/>
                <w:color w:val="0000EE"/>
              </w:rPr>
            </w:pPr>
            <w:hyperlink w:anchor="page84">
              <w:r>
                <w:rPr>
                  <w:rFonts w:ascii="Arial" w:cs="Arial" w:eastAsia="Arial" w:hAnsi="Arial"/>
                  <w:sz w:val="16"/>
                  <w:szCs w:val="16"/>
                  <w:color w:val="0000EE"/>
                </w:rPr>
                <w:t>Compensation</w:t>
              </w:r>
            </w:hyperlink>
          </w:p>
        </w:tc>
        <w:tc>
          <w:tcPr>
            <w:tcW w:w="460" w:type="dxa"/>
            <w:vAlign w:val="bottom"/>
            <w:gridSpan w:val="3"/>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40" w:type="dxa"/>
            <w:vAlign w:val="bottom"/>
            <w:gridSpan w:val="16"/>
          </w:tcPr>
          <w:p>
            <w:pPr>
              <w:ind w:left="20"/>
              <w:spacing w:after="0" w:line="168" w:lineRule="exact"/>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 xml:space="preserve">Item No. 3 </w:t>
              </w:r>
              <w:r>
                <w:rPr>
                  <w:rFonts w:ascii="Arial" w:cs="Arial" w:eastAsia="Arial" w:hAnsi="Arial"/>
                  <w:sz w:val="16"/>
                  <w:szCs w:val="16"/>
                  <w:color w:val="0000EE"/>
                </w:rPr>
                <w:t>– Advisory Approval of the Frequency of Future</w:t>
              </w:r>
            </w:hyperlink>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40" w:type="dxa"/>
            <w:vAlign w:val="bottom"/>
            <w:gridSpan w:val="14"/>
          </w:tcPr>
          <w:p>
            <w:pPr>
              <w:spacing w:after="0" w:line="176" w:lineRule="exact"/>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Advisory Votes on Named Executive Officer Compensation</w:t>
              </w:r>
            </w:hyperlink>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79"/>
        </w:trPr>
        <w:tc>
          <w:tcPr>
            <w:tcW w:w="4740" w:type="dxa"/>
            <w:vAlign w:val="bottom"/>
            <w:gridSpan w:val="16"/>
          </w:tcPr>
          <w:p>
            <w:pPr>
              <w:ind w:left="20"/>
              <w:spacing w:after="0" w:line="178" w:lineRule="exact"/>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 xml:space="preserve">Item No. 4 </w:t>
              </w:r>
              <w:r>
                <w:rPr>
                  <w:rFonts w:ascii="Arial" w:cs="Arial" w:eastAsia="Arial" w:hAnsi="Arial"/>
                  <w:sz w:val="16"/>
                  <w:szCs w:val="16"/>
                  <w:color w:val="0000EE"/>
                </w:rPr>
                <w:t>– Ratification of the Selection of the Independent</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120" w:type="dxa"/>
            <w:vAlign w:val="bottom"/>
            <w:tcBorders>
              <w:top w:val="single" w:sz="8" w:color="0000EE"/>
            </w:tcBorders>
            <w:gridSpan w:val="12"/>
          </w:tcPr>
          <w:p>
            <w:pPr>
              <w:spacing w:after="0" w:line="168" w:lineRule="exact"/>
              <w:rPr>
                <w:rFonts w:ascii="Arial" w:cs="Arial" w:eastAsia="Arial" w:hAnsi="Arial"/>
                <w:sz w:val="16"/>
                <w:szCs w:val="16"/>
                <w:color w:val="0000EE"/>
              </w:rPr>
            </w:pPr>
            <w:hyperlink w:anchor="page86">
              <w:r>
                <w:rPr>
                  <w:rFonts w:ascii="Arial" w:cs="Arial" w:eastAsia="Arial" w:hAnsi="Arial"/>
                  <w:sz w:val="16"/>
                  <w:szCs w:val="16"/>
                  <w:color w:val="0000EE"/>
                </w:rPr>
                <w:t>Registered Public Accounting Firm for 2020</w:t>
              </w:r>
            </w:hyperlink>
          </w:p>
        </w:tc>
        <w:tc>
          <w:tcPr>
            <w:tcW w:w="420" w:type="dxa"/>
            <w:vAlign w:val="bottom"/>
            <w:gridSpan w:val="2"/>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80" w:type="dxa"/>
            <w:vAlign w:val="bottom"/>
            <w:gridSpan w:val="8"/>
            <w:vMerge w:val="restart"/>
          </w:tcPr>
          <w:p>
            <w:pPr>
              <w:ind w:left="20"/>
              <w:spacing w:after="0"/>
              <w:rPr>
                <w:rFonts w:ascii="Arial" w:cs="Arial" w:eastAsia="Arial" w:hAnsi="Arial"/>
                <w:sz w:val="16"/>
                <w:szCs w:val="16"/>
                <w:color w:val="0000EE"/>
              </w:rPr>
            </w:pPr>
            <w:hyperlink w:anchor="page88">
              <w:r>
                <w:rPr>
                  <w:rFonts w:ascii="Arial" w:cs="Arial" w:eastAsia="Arial" w:hAnsi="Arial"/>
                  <w:sz w:val="16"/>
                  <w:szCs w:val="16"/>
                  <w:color w:val="0000EE"/>
                </w:rPr>
                <w:t>Company 2020</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60" w:type="dxa"/>
            <w:vAlign w:val="bottom"/>
            <w:gridSpan w:val="8"/>
          </w:tcPr>
          <w:p>
            <w:pPr>
              <w:ind w:left="20"/>
              <w:spacing w:after="0" w:line="168"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 xml:space="preserve">Item No. 5 </w:t>
              </w:r>
              <w:r>
                <w:rPr>
                  <w:rFonts w:ascii="Arial" w:cs="Arial" w:eastAsia="Arial" w:hAnsi="Arial"/>
                  <w:sz w:val="16"/>
                  <w:szCs w:val="16"/>
                  <w:color w:val="0000EE"/>
                </w:rPr>
                <w:t>– Approval of the General Motors</w:t>
              </w:r>
            </w:hyperlink>
          </w:p>
        </w:tc>
        <w:tc>
          <w:tcPr>
            <w:tcW w:w="1480" w:type="dxa"/>
            <w:vAlign w:val="bottom"/>
            <w:gridSpan w:val="8"/>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0" w:type="dxa"/>
            <w:vAlign w:val="bottom"/>
            <w:tcBorders>
              <w:top w:val="single" w:sz="8" w:color="0000EE"/>
              <w:bottom w:val="single" w:sz="8" w:color="0000EE"/>
            </w:tcBorders>
            <w:gridSpan w:val="4"/>
          </w:tcPr>
          <w:p>
            <w:pPr>
              <w:spacing w:after="0" w:line="168" w:lineRule="exact"/>
              <w:rPr>
                <w:rFonts w:ascii="Arial" w:cs="Arial" w:eastAsia="Arial" w:hAnsi="Arial"/>
                <w:sz w:val="16"/>
                <w:szCs w:val="16"/>
                <w:color w:val="0000EE"/>
                <w:w w:val="97"/>
              </w:rPr>
            </w:pPr>
            <w:hyperlink w:anchor="page88">
              <w:r>
                <w:rPr>
                  <w:rFonts w:ascii="Arial" w:cs="Arial" w:eastAsia="Arial" w:hAnsi="Arial"/>
                  <w:sz w:val="16"/>
                  <w:szCs w:val="16"/>
                  <w:color w:val="0000EE"/>
                  <w:w w:val="97"/>
                </w:rPr>
                <w:t>Long-Term Incentive Plan</w:t>
              </w:r>
            </w:hyperlink>
          </w:p>
        </w:tc>
        <w:tc>
          <w:tcPr>
            <w:tcW w:w="2360" w:type="dxa"/>
            <w:vAlign w:val="bottom"/>
            <w:tcBorders>
              <w:top w:val="single" w:sz="8" w:color="0000EE"/>
            </w:tcBorders>
            <w:gridSpan w:val="9"/>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19"/>
        </w:trPr>
        <w:tc>
          <w:tcPr>
            <w:tcW w:w="4740" w:type="dxa"/>
            <w:vAlign w:val="bottom"/>
            <w:gridSpan w:val="16"/>
          </w:tcPr>
          <w:p>
            <w:pPr>
              <w:ind w:left="20"/>
              <w:spacing w:after="0"/>
              <w:rPr>
                <w:rFonts w:ascii="Arial" w:cs="Arial" w:eastAsia="Arial" w:hAnsi="Arial"/>
                <w:sz w:val="20"/>
                <w:szCs w:val="20"/>
                <w:u w:val="single" w:color="auto"/>
                <w:color w:val="0000EE"/>
              </w:rPr>
            </w:pPr>
            <w:hyperlink w:anchor="page98">
              <w:r>
                <w:rPr>
                  <w:rFonts w:ascii="Arial" w:cs="Arial" w:eastAsia="Arial" w:hAnsi="Arial"/>
                  <w:sz w:val="20"/>
                  <w:szCs w:val="20"/>
                  <w:u w:val="single" w:color="auto"/>
                  <w:color w:val="0000EE"/>
                </w:rPr>
                <w:t>SHAREHOLDER PROPOSALS</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90</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740" w:type="dxa"/>
            <w:vAlign w:val="bottom"/>
            <w:gridSpan w:val="16"/>
          </w:tcPr>
          <w:p>
            <w:pPr>
              <w:ind w:left="20"/>
              <w:spacing w:after="0" w:line="162" w:lineRule="exact"/>
              <w:rPr>
                <w:rFonts w:ascii="Arial" w:cs="Arial" w:eastAsia="Arial" w:hAnsi="Arial"/>
                <w:sz w:val="16"/>
                <w:szCs w:val="16"/>
                <w:b w:val="1"/>
                <w:bCs w:val="1"/>
                <w:u w:val="single" w:color="auto"/>
                <w:color w:val="0000EE"/>
              </w:rPr>
            </w:pPr>
            <w:hyperlink w:anchor="page98">
              <w:r>
                <w:rPr>
                  <w:rFonts w:ascii="Arial" w:cs="Arial" w:eastAsia="Arial" w:hAnsi="Arial"/>
                  <w:sz w:val="16"/>
                  <w:szCs w:val="16"/>
                  <w:b w:val="1"/>
                  <w:bCs w:val="1"/>
                  <w:u w:val="single" w:color="auto"/>
                  <w:color w:val="0000EE"/>
                </w:rPr>
                <w:t xml:space="preserve">Item No. 6 </w:t>
              </w:r>
              <w:r>
                <w:rPr>
                  <w:rFonts w:ascii="Arial" w:cs="Arial" w:eastAsia="Arial" w:hAnsi="Arial"/>
                  <w:sz w:val="16"/>
                  <w:szCs w:val="16"/>
                  <w:u w:val="single" w:color="auto"/>
                  <w:color w:val="0000EE"/>
                </w:rPr>
                <w:t>– Shareholder Written Consent</w:t>
              </w:r>
            </w:hyperlink>
          </w:p>
        </w:tc>
        <w:tc>
          <w:tcPr>
            <w:tcW w:w="500" w:type="dxa"/>
            <w:vAlign w:val="bottom"/>
          </w:tcPr>
          <w:p>
            <w:pPr>
              <w:jc w:val="right"/>
              <w:spacing w:after="0" w:line="162"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9"/>
        </w:trPr>
        <w:tc>
          <w:tcPr>
            <w:tcW w:w="4740" w:type="dxa"/>
            <w:vAlign w:val="bottom"/>
            <w:gridSpan w:val="16"/>
          </w:tcPr>
          <w:p>
            <w:pPr>
              <w:ind w:left="20"/>
              <w:spacing w:after="0" w:line="178" w:lineRule="exact"/>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 xml:space="preserve">Item No. 7 </w:t>
              </w:r>
              <w:r>
                <w:rPr>
                  <w:rFonts w:ascii="Arial" w:cs="Arial" w:eastAsia="Arial" w:hAnsi="Arial"/>
                  <w:sz w:val="16"/>
                  <w:szCs w:val="16"/>
                  <w:color w:val="0000EE"/>
                </w:rPr>
                <w:t>– Proxy Access Amendment: Shareholder</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640" w:type="dxa"/>
            <w:vAlign w:val="bottom"/>
            <w:tcBorders>
              <w:top w:val="single" w:sz="8" w:color="0000EE"/>
            </w:tcBorders>
            <w:gridSpan w:val="7"/>
          </w:tcPr>
          <w:p>
            <w:pPr>
              <w:spacing w:after="0" w:line="168" w:lineRule="exact"/>
              <w:rPr>
                <w:rFonts w:ascii="Arial" w:cs="Arial" w:eastAsia="Arial" w:hAnsi="Arial"/>
                <w:sz w:val="16"/>
                <w:szCs w:val="16"/>
                <w:color w:val="0000EE"/>
              </w:rPr>
            </w:pPr>
            <w:hyperlink w:anchor="page100">
              <w:r>
                <w:rPr>
                  <w:rFonts w:ascii="Arial" w:cs="Arial" w:eastAsia="Arial" w:hAnsi="Arial"/>
                  <w:sz w:val="16"/>
                  <w:szCs w:val="16"/>
                  <w:color w:val="0000EE"/>
                </w:rPr>
                <w:t>Aggregation Limit</w:t>
              </w:r>
            </w:hyperlink>
          </w:p>
        </w:tc>
        <w:tc>
          <w:tcPr>
            <w:tcW w:w="900" w:type="dxa"/>
            <w:vAlign w:val="bottom"/>
            <w:gridSpan w:val="7"/>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320" w:type="dxa"/>
            <w:vAlign w:val="bottom"/>
            <w:gridSpan w:val="11"/>
            <w:vMerge w:val="restart"/>
          </w:tcPr>
          <w:p>
            <w:pPr>
              <w:ind w:left="100"/>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on Human Rights Policy Implementation</w:t>
              </w:r>
            </w:hyperlink>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20" w:type="dxa"/>
            <w:vAlign w:val="bottom"/>
            <w:gridSpan w:val="5"/>
          </w:tcPr>
          <w:p>
            <w:pPr>
              <w:ind w:left="20"/>
              <w:spacing w:after="0" w:line="176" w:lineRule="exact"/>
              <w:rPr>
                <w:rFonts w:ascii="Arial" w:cs="Arial" w:eastAsia="Arial" w:hAnsi="Arial"/>
                <w:sz w:val="16"/>
                <w:szCs w:val="16"/>
                <w:b w:val="1"/>
                <w:bCs w:val="1"/>
                <w:u w:val="single" w:color="auto"/>
                <w:color w:val="0000EE"/>
                <w:w w:val="96"/>
              </w:rPr>
            </w:pPr>
            <w:hyperlink w:anchor="page102">
              <w:r>
                <w:rPr>
                  <w:rFonts w:ascii="Arial" w:cs="Arial" w:eastAsia="Arial" w:hAnsi="Arial"/>
                  <w:sz w:val="16"/>
                  <w:szCs w:val="16"/>
                  <w:b w:val="1"/>
                  <w:bCs w:val="1"/>
                  <w:u w:val="single" w:color="auto"/>
                  <w:color w:val="0000EE"/>
                  <w:w w:val="96"/>
                </w:rPr>
                <w:t xml:space="preserve">Item No. 8 </w:t>
              </w:r>
              <w:r>
                <w:rPr>
                  <w:rFonts w:ascii="Arial" w:cs="Arial" w:eastAsia="Arial" w:hAnsi="Arial"/>
                  <w:sz w:val="16"/>
                  <w:szCs w:val="16"/>
                  <w:u w:val="single" w:color="auto"/>
                  <w:color w:val="0000EE"/>
                  <w:w w:val="96"/>
                </w:rPr>
                <w:t>– Report</w:t>
              </w:r>
            </w:hyperlink>
          </w:p>
        </w:tc>
        <w:tc>
          <w:tcPr>
            <w:tcW w:w="3320" w:type="dxa"/>
            <w:vAlign w:val="bottom"/>
            <w:gridSpan w:val="11"/>
            <w:vMerge w:val="continue"/>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4740" w:type="dxa"/>
            <w:vAlign w:val="bottom"/>
            <w:gridSpan w:val="16"/>
          </w:tcPr>
          <w:p>
            <w:pPr>
              <w:ind w:left="20"/>
              <w:spacing w:after="0"/>
              <w:rPr>
                <w:rFonts w:ascii="Arial" w:cs="Arial" w:eastAsia="Arial" w:hAnsi="Arial"/>
                <w:sz w:val="16"/>
                <w:szCs w:val="16"/>
                <w:b w:val="1"/>
                <w:bCs w:val="1"/>
                <w:u w:val="single" w:color="auto"/>
                <w:color w:val="0000EE"/>
              </w:rPr>
            </w:pPr>
            <w:hyperlink w:anchor="page104">
              <w:r>
                <w:rPr>
                  <w:rFonts w:ascii="Arial" w:cs="Arial" w:eastAsia="Arial" w:hAnsi="Arial"/>
                  <w:sz w:val="16"/>
                  <w:szCs w:val="16"/>
                  <w:b w:val="1"/>
                  <w:bCs w:val="1"/>
                  <w:u w:val="single" w:color="auto"/>
                  <w:color w:val="0000EE"/>
                </w:rPr>
                <w:t xml:space="preserve">Item No. 9 </w:t>
              </w:r>
              <w:r>
                <w:rPr>
                  <w:rFonts w:ascii="Arial" w:cs="Arial" w:eastAsia="Arial" w:hAnsi="Arial"/>
                  <w:sz w:val="16"/>
                  <w:szCs w:val="16"/>
                  <w:u w:val="single" w:color="auto"/>
                  <w:color w:val="0000EE"/>
                </w:rPr>
                <w:t>– Report on Lobbying Communications and Activities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60"/>
        </w:trPr>
        <w:tc>
          <w:tcPr>
            <w:tcW w:w="4740" w:type="dxa"/>
            <w:vAlign w:val="bottom"/>
            <w:gridSpan w:val="16"/>
          </w:tcPr>
          <w:p>
            <w:pPr>
              <w:ind w:left="20"/>
              <w:spacing w:after="0"/>
              <w:rPr>
                <w:rFonts w:ascii="Arial" w:cs="Arial" w:eastAsia="Arial" w:hAnsi="Arial"/>
                <w:sz w:val="20"/>
                <w:szCs w:val="20"/>
                <w:color w:val="0000EE"/>
              </w:rPr>
            </w:pPr>
            <w:hyperlink w:anchor="page106">
              <w:r>
                <w:rPr>
                  <w:rFonts w:ascii="Arial" w:cs="Arial" w:eastAsia="Arial" w:hAnsi="Arial"/>
                  <w:sz w:val="20"/>
                  <w:szCs w:val="20"/>
                  <w:color w:val="0000EE"/>
                </w:rPr>
                <w:t>GENERAL INFORMATION ABOUT ANNUAL</w:t>
              </w:r>
            </w:hyperlink>
          </w:p>
        </w:tc>
        <w:tc>
          <w:tcPr>
            <w:tcW w:w="50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740" w:type="dxa"/>
            <w:vAlign w:val="bottom"/>
            <w:tcBorders>
              <w:top w:val="single" w:sz="8" w:color="0000EE"/>
            </w:tcBorders>
            <w:gridSpan w:val="8"/>
          </w:tcPr>
          <w:p>
            <w:pPr>
              <w:spacing w:after="0" w:line="194" w:lineRule="exact"/>
              <w:rPr>
                <w:rFonts w:ascii="Arial" w:cs="Arial" w:eastAsia="Arial" w:hAnsi="Arial"/>
                <w:sz w:val="20"/>
                <w:szCs w:val="20"/>
                <w:color w:val="0000EE"/>
              </w:rPr>
            </w:pPr>
            <w:hyperlink w:anchor="page106">
              <w:r>
                <w:rPr>
                  <w:rFonts w:ascii="Arial" w:cs="Arial" w:eastAsia="Arial" w:hAnsi="Arial"/>
                  <w:sz w:val="20"/>
                  <w:szCs w:val="20"/>
                  <w:color w:val="0000EE"/>
                </w:rPr>
                <w:t>MEETING</w:t>
              </w:r>
            </w:hyperlink>
          </w:p>
        </w:tc>
        <w:tc>
          <w:tcPr>
            <w:tcW w:w="800" w:type="dxa"/>
            <w:vAlign w:val="bottom"/>
            <w:gridSpan w:val="6"/>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740" w:type="dxa"/>
            <w:vAlign w:val="bottom"/>
            <w:gridSpan w:val="16"/>
          </w:tcPr>
          <w:p>
            <w:pPr>
              <w:ind w:left="20"/>
              <w:spacing w:after="0"/>
              <w:rPr>
                <w:rFonts w:ascii="Arial" w:cs="Arial" w:eastAsia="Arial" w:hAnsi="Arial"/>
                <w:sz w:val="20"/>
                <w:szCs w:val="20"/>
                <w:u w:val="single" w:color="auto"/>
                <w:color w:val="0000EE"/>
              </w:rPr>
            </w:pPr>
            <w:hyperlink w:anchor="page113">
              <w:r>
                <w:rPr>
                  <w:rFonts w:ascii="Arial" w:cs="Arial" w:eastAsia="Arial" w:hAnsi="Arial"/>
                  <w:sz w:val="20"/>
                  <w:szCs w:val="20"/>
                  <w:u w:val="single" w:color="auto"/>
                  <w:color w:val="0000EE"/>
                </w:rPr>
                <w:t>APPENDIX A – Non-GAAP Financial Measures</w:t>
              </w:r>
            </w:hyperlink>
          </w:p>
        </w:tc>
        <w:tc>
          <w:tcPr>
            <w:tcW w:w="500" w:type="dxa"/>
            <w:vAlign w:val="bottom"/>
          </w:tcPr>
          <w:p>
            <w:pPr>
              <w:jc w:val="right"/>
              <w:spacing w:after="0"/>
              <w:rPr>
                <w:sz w:val="20"/>
                <w:szCs w:val="20"/>
                <w:color w:val="auto"/>
              </w:rPr>
            </w:pPr>
            <w:r>
              <w:rPr>
                <w:rFonts w:ascii="Arial" w:cs="Arial" w:eastAsia="Arial" w:hAnsi="Arial"/>
                <w:sz w:val="20"/>
                <w:szCs w:val="20"/>
                <w:b w:val="1"/>
                <w:bCs w:val="1"/>
                <w:color w:val="00A1DF"/>
              </w:rPr>
              <w:t>A-1</w:t>
            </w:r>
          </w:p>
        </w:tc>
        <w:tc>
          <w:tcPr>
            <w:tcW w:w="0" w:type="dxa"/>
            <w:vAlign w:val="bottom"/>
          </w:tcPr>
          <w:p>
            <w:pPr>
              <w:spacing w:after="0"/>
              <w:rPr>
                <w:sz w:val="1"/>
                <w:szCs w:val="1"/>
                <w:color w:val="auto"/>
              </w:rPr>
            </w:pPr>
          </w:p>
        </w:tc>
      </w:tr>
      <w:tr>
        <w:trPr>
          <w:trHeight w:val="49"/>
        </w:trPr>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4740" w:type="dxa"/>
            <w:vAlign w:val="bottom"/>
            <w:gridSpan w:val="16"/>
          </w:tcPr>
          <w:p>
            <w:pPr>
              <w:ind w:left="20"/>
              <w:spacing w:after="0"/>
              <w:rPr>
                <w:rFonts w:ascii="Arial" w:cs="Arial" w:eastAsia="Arial" w:hAnsi="Arial"/>
                <w:sz w:val="20"/>
                <w:szCs w:val="20"/>
                <w:color w:val="0000EE"/>
              </w:rPr>
            </w:pPr>
            <w:hyperlink w:anchor="page116">
              <w:r>
                <w:rPr>
                  <w:rFonts w:ascii="Arial" w:cs="Arial" w:eastAsia="Arial" w:hAnsi="Arial"/>
                  <w:sz w:val="20"/>
                  <w:szCs w:val="20"/>
                  <w:color w:val="0000EE"/>
                </w:rPr>
                <w:t>APPENDIX B – General Motors Company 2020</w:t>
              </w:r>
            </w:hyperlink>
          </w:p>
        </w:tc>
        <w:tc>
          <w:tcPr>
            <w:tcW w:w="50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B-1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940" w:type="dxa"/>
            <w:vAlign w:val="bottom"/>
            <w:tcBorders>
              <w:top w:val="single" w:sz="8" w:color="0000EE"/>
            </w:tcBorders>
            <w:gridSpan w:val="9"/>
          </w:tcPr>
          <w:p>
            <w:pPr>
              <w:spacing w:after="0" w:line="194" w:lineRule="exact"/>
              <w:rPr>
                <w:rFonts w:ascii="Arial" w:cs="Arial" w:eastAsia="Arial" w:hAnsi="Arial"/>
                <w:sz w:val="20"/>
                <w:szCs w:val="20"/>
                <w:color w:val="0000EE"/>
              </w:rPr>
            </w:pPr>
            <w:hyperlink w:anchor="page116">
              <w:r>
                <w:rPr>
                  <w:rFonts w:ascii="Arial" w:cs="Arial" w:eastAsia="Arial" w:hAnsi="Arial"/>
                  <w:sz w:val="20"/>
                  <w:szCs w:val="20"/>
                  <w:color w:val="0000EE"/>
                </w:rPr>
                <w:t>Long-Term Incentive Plan</w:t>
              </w:r>
            </w:hyperlink>
          </w:p>
        </w:tc>
        <w:tc>
          <w:tcPr>
            <w:tcW w:w="600" w:type="dxa"/>
            <w:vAlign w:val="bottom"/>
            <w:gridSpan w:val="5"/>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580" w:type="dxa"/>
            <w:vAlign w:val="bottom"/>
            <w:tcBorders>
              <w:top w:val="single" w:sz="8" w:color="0000EE"/>
              <w:bottom w:val="single" w:sz="8" w:color="auto"/>
            </w:tcBorders>
          </w:tcPr>
          <w:p>
            <w:pPr>
              <w:spacing w:after="0"/>
              <w:rPr>
                <w:sz w:val="6"/>
                <w:szCs w:val="6"/>
                <w:color w:val="auto"/>
              </w:rPr>
            </w:pPr>
          </w:p>
        </w:tc>
        <w:tc>
          <w:tcPr>
            <w:tcW w:w="440" w:type="dxa"/>
            <w:vAlign w:val="bottom"/>
            <w:tcBorders>
              <w:top w:val="single" w:sz="8" w:color="0000EE"/>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186690</wp:posOffset>
            </wp:positionV>
            <wp:extent cx="6793865" cy="101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0033A0"/>
        </w:rPr>
        <w:t>INDEX OF FREQUENTLY ACCESSED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-199390</wp:posOffset>
            </wp:positionV>
            <wp:extent cx="3265170" cy="4105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170" cy="410591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Auditor Fees</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Beneficial Ownership Table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Board and Committee Evaluations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Burn Rate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83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CEO Pay Ratio</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CEO Succession Planning</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Clawback Policies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Climate Change Risk Oversight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Code of Business Conduct and Ethics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Compensation Decisions for our NEOs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Corporate Governance Guidelines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25</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Cybersecurity and Privacy Risk Oversight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Director Biographies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Director Compensation</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12</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Director Independence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Director Skills Matrix</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Environmental &amp; Sustainability Highlights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Executive Perquisites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63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Financial Performance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Human Capital Management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Independent Lead Director Duties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Lobbying Disclosure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Pay-for-Performance</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Peer Group</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43</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Related Party Transactions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Risk Oversight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22</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Shareholder Engagement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r>
      <w:tr>
        <w:trPr>
          <w:trHeight w:val="201"/>
        </w:trPr>
        <w:tc>
          <w:tcPr>
            <w:tcW w:w="4020" w:type="dxa"/>
            <w:vAlign w:val="bottom"/>
          </w:tcPr>
          <w:p>
            <w:pPr>
              <w:spacing w:after="0" w:line="201" w:lineRule="exact"/>
              <w:rPr>
                <w:sz w:val="20"/>
                <w:szCs w:val="20"/>
                <w:color w:val="auto"/>
              </w:rPr>
            </w:pPr>
            <w:r>
              <w:rPr>
                <w:rFonts w:ascii="Arial" w:cs="Arial" w:eastAsia="Arial" w:hAnsi="Arial"/>
                <w:sz w:val="18"/>
                <w:szCs w:val="18"/>
                <w:color w:val="auto"/>
              </w:rPr>
              <w:t>Stock Ownership Requirements</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Supply Chain Governance and Compliance</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iv</w:t>
      </w:r>
    </w:p>
    <w:p>
      <w:pPr>
        <w:sectPr>
          <w:pgSz w:w="11900" w:h="16838" w:orient="portrait"/>
          <w:cols w:equalWidth="0" w:num="2">
            <w:col w:w="5400" w:space="560"/>
            <w:col w:w="5100"/>
          </w:cols>
          <w:pgMar w:left="320" w:top="456"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PROXY VOTING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318770</wp:posOffset>
            </wp:positionV>
            <wp:extent cx="6946900" cy="365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0" cy="36512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440"/>
        <w:spacing w:after="0"/>
        <w:rPr>
          <w:sz w:val="20"/>
          <w:szCs w:val="20"/>
          <w:color w:val="auto"/>
        </w:rPr>
      </w:pPr>
      <w:r>
        <w:rPr>
          <w:rFonts w:ascii="Arial" w:cs="Arial" w:eastAsia="Arial" w:hAnsi="Arial"/>
          <w:sz w:val="21"/>
          <w:szCs w:val="21"/>
          <w:b w:val="1"/>
          <w:bCs w:val="1"/>
          <w:color w:val="0033A0"/>
        </w:rPr>
        <w:t>BOARD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BOARD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0033A0"/>
        </w:rPr>
        <w:t>PAGE</w:t>
      </w:r>
    </w:p>
    <w:p>
      <w:pPr>
        <w:spacing w:after="0" w:line="346" w:lineRule="exact"/>
        <w:rPr>
          <w:sz w:val="20"/>
          <w:szCs w:val="20"/>
          <w:color w:val="auto"/>
        </w:rPr>
      </w:pPr>
    </w:p>
    <w:p>
      <w:pPr>
        <w:sectPr>
          <w:pgSz w:w="11900" w:h="16838" w:orient="portrait"/>
          <w:cols w:equalWidth="0" w:num="3">
            <w:col w:w="7020" w:space="720"/>
            <w:col w:w="2080" w:space="620"/>
            <w:col w:w="640"/>
          </w:cols>
          <w:pgMar w:left="320" w:top="456" w:right="499" w:bottom="1440" w:gutter="0" w:footer="0" w:header="0"/>
          <w:type w:val="continuous"/>
        </w:sectPr>
      </w:pP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366"/>
        </w:trPr>
        <w:tc>
          <w:tcPr>
            <w:tcW w:w="6980" w:type="dxa"/>
            <w:vAlign w:val="bottom"/>
            <w:tcBorders>
              <w:top w:val="single" w:sz="8" w:color="0033A0"/>
            </w:tcBorders>
            <w:gridSpan w:val="2"/>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Item 1 – </w:t>
            </w:r>
            <w:r>
              <w:rPr>
                <w:rFonts w:ascii="Arial" w:cs="Arial" w:eastAsia="Arial" w:hAnsi="Arial"/>
                <w:sz w:val="20"/>
                <w:szCs w:val="20"/>
                <w:b w:val="1"/>
                <w:bCs w:val="1"/>
                <w:i w:val="1"/>
                <w:iCs w:val="1"/>
                <w:color w:val="0033A0"/>
              </w:rPr>
              <w:t>Election of Directors</w:t>
            </w:r>
          </w:p>
        </w:tc>
        <w:tc>
          <w:tcPr>
            <w:tcW w:w="2760" w:type="dxa"/>
            <w:vAlign w:val="bottom"/>
            <w:tcBorders>
              <w:top w:val="single" w:sz="8" w:color="0033A0"/>
            </w:tcBorders>
            <w:shd w:val="clear" w:color="auto" w:fill="E5F5FB"/>
          </w:tcPr>
          <w:p>
            <w:pPr>
              <w:jc w:val="center"/>
              <w:ind w:left="442"/>
              <w:spacing w:after="0"/>
              <w:rPr>
                <w:sz w:val="20"/>
                <w:szCs w:val="20"/>
                <w:color w:val="auto"/>
              </w:rPr>
            </w:pPr>
            <w:r>
              <w:rPr>
                <w:rFonts w:ascii="Arial" w:cs="Arial" w:eastAsia="Arial" w:hAnsi="Arial"/>
                <w:sz w:val="20"/>
                <w:szCs w:val="20"/>
                <w:color w:val="auto"/>
                <w:w w:val="99"/>
              </w:rPr>
              <w:t>FOR</w:t>
            </w:r>
          </w:p>
        </w:tc>
        <w:tc>
          <w:tcPr>
            <w:tcW w:w="1180" w:type="dxa"/>
            <w:vAlign w:val="bottom"/>
            <w:tcBorders>
              <w:top w:val="single" w:sz="8" w:color="0033A0"/>
            </w:tcBorders>
            <w:shd w:val="clear" w:color="auto" w:fill="E5F5FB"/>
          </w:tcPr>
          <w:p>
            <w:pPr>
              <w:jc w:val="right"/>
              <w:ind w:right="122"/>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300" w:type="dxa"/>
            <w:vAlign w:val="bottom"/>
            <w:tcBorders>
              <w:bottom w:val="single" w:sz="8" w:color="0033A0"/>
            </w:tcBorders>
            <w:shd w:val="clear" w:color="auto" w:fill="E5F5FB"/>
          </w:tcPr>
          <w:p>
            <w:pPr>
              <w:spacing w:after="0"/>
              <w:rPr>
                <w:sz w:val="10"/>
                <w:szCs w:val="10"/>
                <w:color w:val="auto"/>
              </w:rPr>
            </w:pPr>
          </w:p>
        </w:tc>
        <w:tc>
          <w:tcPr>
            <w:tcW w:w="2760" w:type="dxa"/>
            <w:vAlign w:val="bottom"/>
            <w:tcBorders>
              <w:bottom w:val="single" w:sz="8" w:color="0033A0"/>
            </w:tcBorders>
            <w:shd w:val="clear" w:color="auto" w:fill="E5F5FB"/>
          </w:tcPr>
          <w:p>
            <w:pPr>
              <w:spacing w:after="0"/>
              <w:rPr>
                <w:sz w:val="10"/>
                <w:szCs w:val="10"/>
                <w:color w:val="auto"/>
              </w:rPr>
            </w:pPr>
          </w:p>
        </w:tc>
        <w:tc>
          <w:tcPr>
            <w:tcW w:w="1180" w:type="dxa"/>
            <w:vAlign w:val="bottom"/>
            <w:tcBorders>
              <w:bottom w:val="single" w:sz="8" w:color="0033A0"/>
            </w:tcBorders>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300" w:type="dxa"/>
            <w:vAlign w:val="bottom"/>
            <w:tcBorders>
              <w:bottom w:val="single" w:sz="8" w:color="0033A0"/>
            </w:tcBorders>
          </w:tcPr>
          <w:p>
            <w:pPr>
              <w:spacing w:after="0"/>
              <w:rPr>
                <w:sz w:val="20"/>
                <w:szCs w:val="20"/>
                <w:color w:val="auto"/>
              </w:rPr>
            </w:pPr>
          </w:p>
        </w:tc>
        <w:tc>
          <w:tcPr>
            <w:tcW w:w="2760" w:type="dxa"/>
            <w:vAlign w:val="bottom"/>
            <w:tcBorders>
              <w:bottom w:val="single" w:sz="8" w:color="0033A0"/>
            </w:tcBorders>
          </w:tcPr>
          <w:p>
            <w:pPr>
              <w:spacing w:after="0"/>
              <w:rPr>
                <w:sz w:val="20"/>
                <w:szCs w:val="20"/>
                <w:color w:val="auto"/>
              </w:rPr>
            </w:pPr>
          </w:p>
        </w:tc>
        <w:tc>
          <w:tcPr>
            <w:tcW w:w="1180" w:type="dxa"/>
            <w:vAlign w:val="bottom"/>
            <w:tcBorders>
              <w:bottom w:val="single" w:sz="8" w:color="0033A0"/>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2</w:t>
            </w:r>
          </w:p>
        </w:tc>
        <w:tc>
          <w:tcPr>
            <w:tcW w:w="630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Advisory Approval of Named Executive Officer Compensation</w:t>
            </w:r>
          </w:p>
        </w:tc>
        <w:tc>
          <w:tcPr>
            <w:tcW w:w="2760" w:type="dxa"/>
            <w:vAlign w:val="bottom"/>
            <w:vMerge w:val="restart"/>
            <w:shd w:val="clear" w:color="auto" w:fill="E5F5FB"/>
          </w:tcPr>
          <w:p>
            <w:pPr>
              <w:jc w:val="center"/>
              <w:ind w:left="442"/>
              <w:spacing w:after="0"/>
              <w:rPr>
                <w:sz w:val="20"/>
                <w:szCs w:val="20"/>
                <w:color w:val="auto"/>
              </w:rPr>
            </w:pPr>
            <w:r>
              <w:rPr>
                <w:rFonts w:ascii="Arial" w:cs="Arial" w:eastAsia="Arial" w:hAnsi="Arial"/>
                <w:sz w:val="20"/>
                <w:szCs w:val="20"/>
                <w:color w:val="auto"/>
                <w:w w:val="99"/>
              </w:rPr>
              <w:t>FOR</w:t>
            </w:r>
          </w:p>
        </w:tc>
        <w:tc>
          <w:tcPr>
            <w:tcW w:w="1180" w:type="dxa"/>
            <w:vAlign w:val="bottom"/>
            <w:vMerge w:val="restart"/>
            <w:shd w:val="clear" w:color="auto" w:fill="E5F5FB"/>
          </w:tcPr>
          <w:p>
            <w:pPr>
              <w:jc w:val="right"/>
              <w:ind w:right="122"/>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120"/>
        </w:trPr>
        <w:tc>
          <w:tcPr>
            <w:tcW w:w="680" w:type="dxa"/>
            <w:vAlign w:val="bottom"/>
            <w:shd w:val="clear" w:color="auto" w:fill="E5F5FB"/>
          </w:tcPr>
          <w:p>
            <w:pPr>
              <w:spacing w:after="0"/>
              <w:rPr>
                <w:sz w:val="10"/>
                <w:szCs w:val="10"/>
                <w:color w:val="auto"/>
              </w:rPr>
            </w:pPr>
          </w:p>
        </w:tc>
        <w:tc>
          <w:tcPr>
            <w:tcW w:w="6300" w:type="dxa"/>
            <w:vAlign w:val="bottom"/>
            <w:shd w:val="clear" w:color="auto" w:fill="E5F5FB"/>
          </w:tcPr>
          <w:p>
            <w:pPr>
              <w:spacing w:after="0"/>
              <w:rPr>
                <w:sz w:val="10"/>
                <w:szCs w:val="10"/>
                <w:color w:val="auto"/>
              </w:rPr>
            </w:pPr>
          </w:p>
        </w:tc>
        <w:tc>
          <w:tcPr>
            <w:tcW w:w="2760" w:type="dxa"/>
            <w:vAlign w:val="bottom"/>
            <w:vMerge w:val="continue"/>
            <w:shd w:val="clear" w:color="auto" w:fill="E5F5FB"/>
          </w:tcPr>
          <w:p>
            <w:pPr>
              <w:spacing w:after="0"/>
              <w:rPr>
                <w:sz w:val="10"/>
                <w:szCs w:val="10"/>
                <w:color w:val="auto"/>
              </w:rPr>
            </w:pPr>
          </w:p>
        </w:tc>
        <w:tc>
          <w:tcPr>
            <w:tcW w:w="1180" w:type="dxa"/>
            <w:vAlign w:val="bottom"/>
            <w:vMerge w:val="continue"/>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80" w:type="dxa"/>
            <w:vAlign w:val="bottom"/>
            <w:tcBorders>
              <w:bottom w:val="single" w:sz="8" w:color="0033A0"/>
            </w:tcBorders>
            <w:shd w:val="clear" w:color="auto" w:fill="E5F5FB"/>
          </w:tcPr>
          <w:p>
            <w:pPr>
              <w:spacing w:after="0"/>
              <w:rPr>
                <w:sz w:val="11"/>
                <w:szCs w:val="11"/>
                <w:color w:val="auto"/>
              </w:rPr>
            </w:pPr>
          </w:p>
        </w:tc>
        <w:tc>
          <w:tcPr>
            <w:tcW w:w="6300" w:type="dxa"/>
            <w:vAlign w:val="bottom"/>
            <w:tcBorders>
              <w:bottom w:val="single" w:sz="8" w:color="0033A0"/>
            </w:tcBorders>
            <w:shd w:val="clear" w:color="auto" w:fill="E5F5FB"/>
          </w:tcPr>
          <w:p>
            <w:pPr>
              <w:spacing w:after="0"/>
              <w:rPr>
                <w:sz w:val="11"/>
                <w:szCs w:val="11"/>
                <w:color w:val="auto"/>
              </w:rPr>
            </w:pPr>
          </w:p>
        </w:tc>
        <w:tc>
          <w:tcPr>
            <w:tcW w:w="2760" w:type="dxa"/>
            <w:vAlign w:val="bottom"/>
            <w:tcBorders>
              <w:bottom w:val="single" w:sz="8" w:color="0033A0"/>
            </w:tcBorders>
            <w:shd w:val="clear" w:color="auto" w:fill="E5F5FB"/>
          </w:tcPr>
          <w:p>
            <w:pPr>
              <w:spacing w:after="0"/>
              <w:rPr>
                <w:sz w:val="11"/>
                <w:szCs w:val="11"/>
                <w:color w:val="auto"/>
              </w:rPr>
            </w:pPr>
          </w:p>
        </w:tc>
        <w:tc>
          <w:tcPr>
            <w:tcW w:w="1180" w:type="dxa"/>
            <w:vAlign w:val="bottom"/>
            <w:tcBorders>
              <w:bottom w:val="single" w:sz="8" w:color="0033A0"/>
            </w:tcBorders>
            <w:shd w:val="clear" w:color="auto" w:fill="E5F5FB"/>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300" w:type="dxa"/>
            <w:vAlign w:val="bottom"/>
            <w:tcBorders>
              <w:bottom w:val="single" w:sz="8" w:color="0033A0"/>
            </w:tcBorders>
          </w:tcPr>
          <w:p>
            <w:pPr>
              <w:spacing w:after="0"/>
              <w:rPr>
                <w:sz w:val="20"/>
                <w:szCs w:val="20"/>
                <w:color w:val="auto"/>
              </w:rPr>
            </w:pPr>
          </w:p>
        </w:tc>
        <w:tc>
          <w:tcPr>
            <w:tcW w:w="2760" w:type="dxa"/>
            <w:vAlign w:val="bottom"/>
            <w:tcBorders>
              <w:bottom w:val="single" w:sz="8" w:color="0033A0"/>
            </w:tcBorders>
          </w:tcPr>
          <w:p>
            <w:pPr>
              <w:spacing w:after="0"/>
              <w:rPr>
                <w:sz w:val="20"/>
                <w:szCs w:val="20"/>
                <w:color w:val="auto"/>
              </w:rPr>
            </w:pPr>
          </w:p>
        </w:tc>
        <w:tc>
          <w:tcPr>
            <w:tcW w:w="1180" w:type="dxa"/>
            <w:vAlign w:val="bottom"/>
            <w:tcBorders>
              <w:bottom w:val="single" w:sz="8" w:color="0033A0"/>
            </w:tcBorders>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3</w:t>
            </w:r>
          </w:p>
        </w:tc>
        <w:tc>
          <w:tcPr>
            <w:tcW w:w="630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w w:val="98"/>
              </w:rPr>
              <w:t xml:space="preserve">– </w:t>
            </w:r>
            <w:r>
              <w:rPr>
                <w:rFonts w:ascii="Arial" w:cs="Arial" w:eastAsia="Arial" w:hAnsi="Arial"/>
                <w:sz w:val="20"/>
                <w:szCs w:val="20"/>
                <w:b w:val="1"/>
                <w:bCs w:val="1"/>
                <w:i w:val="1"/>
                <w:iCs w:val="1"/>
                <w:color w:val="0033A0"/>
                <w:w w:val="98"/>
              </w:rPr>
              <w:t>Advisory Approval of the Frequency of Future Advisory Votes on</w:t>
            </w:r>
          </w:p>
        </w:tc>
        <w:tc>
          <w:tcPr>
            <w:tcW w:w="2760" w:type="dxa"/>
            <w:vAlign w:val="bottom"/>
            <w:vMerge w:val="restart"/>
            <w:shd w:val="clear" w:color="auto" w:fill="E5F5FB"/>
          </w:tcPr>
          <w:p>
            <w:pPr>
              <w:jc w:val="center"/>
              <w:ind w:left="442"/>
              <w:spacing w:after="0"/>
              <w:rPr>
                <w:sz w:val="20"/>
                <w:szCs w:val="20"/>
                <w:color w:val="auto"/>
              </w:rPr>
            </w:pPr>
            <w:r>
              <w:rPr>
                <w:rFonts w:ascii="Arial" w:cs="Arial" w:eastAsia="Arial" w:hAnsi="Arial"/>
                <w:sz w:val="20"/>
                <w:szCs w:val="20"/>
                <w:color w:val="auto"/>
                <w:w w:val="98"/>
              </w:rPr>
              <w:t>1 YEAR</w:t>
            </w:r>
          </w:p>
        </w:tc>
        <w:tc>
          <w:tcPr>
            <w:tcW w:w="1180" w:type="dxa"/>
            <w:vAlign w:val="bottom"/>
            <w:vMerge w:val="restart"/>
            <w:shd w:val="clear" w:color="auto" w:fill="E5F5FB"/>
          </w:tcPr>
          <w:p>
            <w:pPr>
              <w:jc w:val="right"/>
              <w:ind w:right="122"/>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166"/>
        </w:trPr>
        <w:tc>
          <w:tcPr>
            <w:tcW w:w="680" w:type="dxa"/>
            <w:vAlign w:val="bottom"/>
            <w:shd w:val="clear" w:color="auto" w:fill="E5F5FB"/>
          </w:tcPr>
          <w:p>
            <w:pPr>
              <w:spacing w:after="0"/>
              <w:rPr>
                <w:sz w:val="14"/>
                <w:szCs w:val="14"/>
                <w:color w:val="auto"/>
              </w:rPr>
            </w:pPr>
          </w:p>
        </w:tc>
        <w:tc>
          <w:tcPr>
            <w:tcW w:w="6300" w:type="dxa"/>
            <w:vAlign w:val="bottom"/>
            <w:vMerge w:val="restart"/>
            <w:shd w:val="clear" w:color="auto" w:fill="E5F5FB"/>
          </w:tcPr>
          <w:p>
            <w:pPr>
              <w:ind w:left="220"/>
              <w:spacing w:after="0"/>
              <w:rPr>
                <w:sz w:val="20"/>
                <w:szCs w:val="20"/>
                <w:color w:val="auto"/>
              </w:rPr>
            </w:pPr>
            <w:r>
              <w:rPr>
                <w:rFonts w:ascii="Arial" w:cs="Arial" w:eastAsia="Arial" w:hAnsi="Arial"/>
                <w:sz w:val="20"/>
                <w:szCs w:val="20"/>
                <w:b w:val="1"/>
                <w:bCs w:val="1"/>
                <w:i w:val="1"/>
                <w:iCs w:val="1"/>
                <w:color w:val="0033A0"/>
              </w:rPr>
              <w:t>Named Executive Officer Compensation</w:t>
            </w:r>
          </w:p>
        </w:tc>
        <w:tc>
          <w:tcPr>
            <w:tcW w:w="2760" w:type="dxa"/>
            <w:vAlign w:val="bottom"/>
            <w:vMerge w:val="continue"/>
            <w:shd w:val="clear" w:color="auto" w:fill="E5F5FB"/>
          </w:tcPr>
          <w:p>
            <w:pPr>
              <w:spacing w:after="0"/>
              <w:rPr>
                <w:sz w:val="14"/>
                <w:szCs w:val="14"/>
                <w:color w:val="auto"/>
              </w:rPr>
            </w:pPr>
          </w:p>
        </w:tc>
        <w:tc>
          <w:tcPr>
            <w:tcW w:w="1180" w:type="dxa"/>
            <w:vAlign w:val="bottom"/>
            <w:vMerge w:val="continue"/>
            <w:shd w:val="clear" w:color="auto" w:fill="E5F5FB"/>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680" w:type="dxa"/>
            <w:vAlign w:val="bottom"/>
            <w:shd w:val="clear" w:color="auto" w:fill="E5F5FB"/>
          </w:tcPr>
          <w:p>
            <w:pPr>
              <w:spacing w:after="0"/>
              <w:rPr>
                <w:sz w:val="8"/>
                <w:szCs w:val="8"/>
                <w:color w:val="auto"/>
              </w:rPr>
            </w:pPr>
          </w:p>
        </w:tc>
        <w:tc>
          <w:tcPr>
            <w:tcW w:w="6300" w:type="dxa"/>
            <w:vAlign w:val="bottom"/>
            <w:vMerge w:val="continue"/>
            <w:shd w:val="clear" w:color="auto" w:fill="E5F5FB"/>
          </w:tcPr>
          <w:p>
            <w:pPr>
              <w:spacing w:after="0"/>
              <w:rPr>
                <w:sz w:val="8"/>
                <w:szCs w:val="8"/>
                <w:color w:val="auto"/>
              </w:rPr>
            </w:pPr>
          </w:p>
        </w:tc>
        <w:tc>
          <w:tcPr>
            <w:tcW w:w="2760" w:type="dxa"/>
            <w:vAlign w:val="bottom"/>
            <w:shd w:val="clear" w:color="auto" w:fill="E5F5FB"/>
          </w:tcPr>
          <w:p>
            <w:pPr>
              <w:spacing w:after="0"/>
              <w:rPr>
                <w:sz w:val="8"/>
                <w:szCs w:val="8"/>
                <w:color w:val="auto"/>
              </w:rPr>
            </w:pPr>
          </w:p>
        </w:tc>
        <w:tc>
          <w:tcPr>
            <w:tcW w:w="1180" w:type="dxa"/>
            <w:vAlign w:val="bottom"/>
            <w:shd w:val="clear" w:color="auto" w:fill="E5F5FB"/>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300" w:type="dxa"/>
            <w:vAlign w:val="bottom"/>
            <w:tcBorders>
              <w:bottom w:val="single" w:sz="8" w:color="0033A0"/>
            </w:tcBorders>
            <w:shd w:val="clear" w:color="auto" w:fill="E5F5FB"/>
          </w:tcPr>
          <w:p>
            <w:pPr>
              <w:spacing w:after="0"/>
              <w:rPr>
                <w:sz w:val="10"/>
                <w:szCs w:val="10"/>
                <w:color w:val="auto"/>
              </w:rPr>
            </w:pPr>
          </w:p>
        </w:tc>
        <w:tc>
          <w:tcPr>
            <w:tcW w:w="2760" w:type="dxa"/>
            <w:vAlign w:val="bottom"/>
            <w:tcBorders>
              <w:bottom w:val="single" w:sz="8" w:color="0033A0"/>
            </w:tcBorders>
            <w:shd w:val="clear" w:color="auto" w:fill="E5F5FB"/>
          </w:tcPr>
          <w:p>
            <w:pPr>
              <w:spacing w:after="0"/>
              <w:rPr>
                <w:sz w:val="10"/>
                <w:szCs w:val="10"/>
                <w:color w:val="auto"/>
              </w:rPr>
            </w:pPr>
          </w:p>
        </w:tc>
        <w:tc>
          <w:tcPr>
            <w:tcW w:w="1180" w:type="dxa"/>
            <w:vAlign w:val="bottom"/>
            <w:tcBorders>
              <w:bottom w:val="single" w:sz="8" w:color="0033A0"/>
            </w:tcBorders>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300" w:type="dxa"/>
            <w:vAlign w:val="bottom"/>
            <w:tcBorders>
              <w:bottom w:val="single" w:sz="8" w:color="0033A0"/>
            </w:tcBorders>
          </w:tcPr>
          <w:p>
            <w:pPr>
              <w:spacing w:after="0"/>
              <w:rPr>
                <w:sz w:val="20"/>
                <w:szCs w:val="20"/>
                <w:color w:val="auto"/>
              </w:rPr>
            </w:pPr>
          </w:p>
        </w:tc>
        <w:tc>
          <w:tcPr>
            <w:tcW w:w="2760" w:type="dxa"/>
            <w:vAlign w:val="bottom"/>
            <w:tcBorders>
              <w:bottom w:val="single" w:sz="8" w:color="0033A0"/>
            </w:tcBorders>
          </w:tcPr>
          <w:p>
            <w:pPr>
              <w:spacing w:after="0"/>
              <w:rPr>
                <w:sz w:val="20"/>
                <w:szCs w:val="20"/>
                <w:color w:val="auto"/>
              </w:rPr>
            </w:pPr>
          </w:p>
        </w:tc>
        <w:tc>
          <w:tcPr>
            <w:tcW w:w="1180" w:type="dxa"/>
            <w:vAlign w:val="bottom"/>
            <w:tcBorders>
              <w:bottom w:val="single" w:sz="8" w:color="0033A0"/>
            </w:tcBorders>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4</w:t>
            </w:r>
          </w:p>
        </w:tc>
        <w:tc>
          <w:tcPr>
            <w:tcW w:w="630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Ratification of the Selection of the Independent Registered</w:t>
            </w:r>
          </w:p>
        </w:tc>
        <w:tc>
          <w:tcPr>
            <w:tcW w:w="2760" w:type="dxa"/>
            <w:vAlign w:val="bottom"/>
            <w:shd w:val="clear" w:color="auto" w:fill="E5F5FB"/>
          </w:tcPr>
          <w:p>
            <w:pPr>
              <w:spacing w:after="0"/>
              <w:rPr>
                <w:sz w:val="24"/>
                <w:szCs w:val="24"/>
                <w:color w:val="auto"/>
              </w:rPr>
            </w:pPr>
          </w:p>
        </w:tc>
        <w:tc>
          <w:tcPr>
            <w:tcW w:w="1180" w:type="dxa"/>
            <w:vAlign w:val="bottom"/>
            <w:shd w:val="clear" w:color="auto" w:fill="E5F5FB"/>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0" w:type="dxa"/>
            <w:vAlign w:val="bottom"/>
            <w:shd w:val="clear" w:color="auto" w:fill="E5F5FB"/>
          </w:tcPr>
          <w:p>
            <w:pPr>
              <w:spacing w:after="0"/>
              <w:rPr>
                <w:sz w:val="22"/>
                <w:szCs w:val="22"/>
                <w:color w:val="auto"/>
              </w:rPr>
            </w:pPr>
          </w:p>
        </w:tc>
        <w:tc>
          <w:tcPr>
            <w:tcW w:w="6300" w:type="dxa"/>
            <w:vAlign w:val="bottom"/>
            <w:shd w:val="clear" w:color="auto" w:fill="E5F5FB"/>
          </w:tcPr>
          <w:p>
            <w:pPr>
              <w:ind w:left="220"/>
              <w:spacing w:after="0"/>
              <w:rPr>
                <w:sz w:val="20"/>
                <w:szCs w:val="20"/>
                <w:color w:val="auto"/>
              </w:rPr>
            </w:pPr>
            <w:r>
              <w:rPr>
                <w:rFonts w:ascii="Arial" w:cs="Arial" w:eastAsia="Arial" w:hAnsi="Arial"/>
                <w:sz w:val="20"/>
                <w:szCs w:val="20"/>
                <w:b w:val="1"/>
                <w:bCs w:val="1"/>
                <w:i w:val="1"/>
                <w:iCs w:val="1"/>
                <w:color w:val="0033A0"/>
              </w:rPr>
              <w:t>Public Accounting Firm for 2020</w:t>
            </w:r>
          </w:p>
        </w:tc>
        <w:tc>
          <w:tcPr>
            <w:tcW w:w="2760" w:type="dxa"/>
            <w:vAlign w:val="bottom"/>
            <w:shd w:val="clear" w:color="auto" w:fill="E5F5FB"/>
          </w:tcPr>
          <w:p>
            <w:pPr>
              <w:jc w:val="center"/>
              <w:ind w:left="442"/>
              <w:spacing w:after="0"/>
              <w:rPr>
                <w:sz w:val="20"/>
                <w:szCs w:val="20"/>
                <w:color w:val="auto"/>
              </w:rPr>
            </w:pPr>
            <w:r>
              <w:rPr>
                <w:rFonts w:ascii="Arial" w:cs="Arial" w:eastAsia="Arial" w:hAnsi="Arial"/>
                <w:sz w:val="20"/>
                <w:szCs w:val="20"/>
                <w:color w:val="auto"/>
                <w:w w:val="99"/>
              </w:rPr>
              <w:t>FOR</w:t>
            </w:r>
          </w:p>
        </w:tc>
        <w:tc>
          <w:tcPr>
            <w:tcW w:w="1180" w:type="dxa"/>
            <w:vAlign w:val="bottom"/>
            <w:shd w:val="clear" w:color="auto" w:fill="E5F5FB"/>
          </w:tcPr>
          <w:p>
            <w:pPr>
              <w:jc w:val="right"/>
              <w:ind w:right="122"/>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300" w:type="dxa"/>
            <w:vAlign w:val="bottom"/>
            <w:tcBorders>
              <w:bottom w:val="single" w:sz="8" w:color="0033A0"/>
            </w:tcBorders>
            <w:shd w:val="clear" w:color="auto" w:fill="E5F5FB"/>
          </w:tcPr>
          <w:p>
            <w:pPr>
              <w:spacing w:after="0"/>
              <w:rPr>
                <w:sz w:val="10"/>
                <w:szCs w:val="10"/>
                <w:color w:val="auto"/>
              </w:rPr>
            </w:pPr>
          </w:p>
        </w:tc>
        <w:tc>
          <w:tcPr>
            <w:tcW w:w="2760" w:type="dxa"/>
            <w:vAlign w:val="bottom"/>
            <w:tcBorders>
              <w:bottom w:val="single" w:sz="8" w:color="0033A0"/>
            </w:tcBorders>
            <w:shd w:val="clear" w:color="auto" w:fill="E5F5FB"/>
          </w:tcPr>
          <w:p>
            <w:pPr>
              <w:spacing w:after="0"/>
              <w:rPr>
                <w:sz w:val="10"/>
                <w:szCs w:val="10"/>
                <w:color w:val="auto"/>
              </w:rPr>
            </w:pPr>
          </w:p>
        </w:tc>
        <w:tc>
          <w:tcPr>
            <w:tcW w:w="1180" w:type="dxa"/>
            <w:vAlign w:val="bottom"/>
            <w:tcBorders>
              <w:bottom w:val="single" w:sz="8" w:color="0033A0"/>
            </w:tcBorders>
            <w:shd w:val="clear" w:color="auto" w:fill="E5F5FB"/>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300" w:type="dxa"/>
            <w:vAlign w:val="bottom"/>
            <w:tcBorders>
              <w:bottom w:val="single" w:sz="8" w:color="0033A0"/>
            </w:tcBorders>
          </w:tcPr>
          <w:p>
            <w:pPr>
              <w:spacing w:after="0"/>
              <w:rPr>
                <w:sz w:val="20"/>
                <w:szCs w:val="20"/>
                <w:color w:val="auto"/>
              </w:rPr>
            </w:pPr>
          </w:p>
        </w:tc>
        <w:tc>
          <w:tcPr>
            <w:tcW w:w="2760" w:type="dxa"/>
            <w:vAlign w:val="bottom"/>
            <w:tcBorders>
              <w:bottom w:val="single" w:sz="8" w:color="0033A0"/>
            </w:tcBorders>
          </w:tcPr>
          <w:p>
            <w:pPr>
              <w:spacing w:after="0"/>
              <w:rPr>
                <w:sz w:val="20"/>
                <w:szCs w:val="20"/>
                <w:color w:val="auto"/>
              </w:rPr>
            </w:pPr>
          </w:p>
        </w:tc>
        <w:tc>
          <w:tcPr>
            <w:tcW w:w="1180" w:type="dxa"/>
            <w:vAlign w:val="bottom"/>
            <w:tcBorders>
              <w:bottom w:val="single" w:sz="8" w:color="0033A0"/>
            </w:tcBorders>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5</w:t>
            </w:r>
          </w:p>
        </w:tc>
        <w:tc>
          <w:tcPr>
            <w:tcW w:w="630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Approval of the General Motors Company 2020 Long-Term</w:t>
            </w:r>
          </w:p>
        </w:tc>
        <w:tc>
          <w:tcPr>
            <w:tcW w:w="2760" w:type="dxa"/>
            <w:vAlign w:val="bottom"/>
            <w:vMerge w:val="restart"/>
            <w:shd w:val="clear" w:color="auto" w:fill="E5F5FB"/>
          </w:tcPr>
          <w:p>
            <w:pPr>
              <w:jc w:val="center"/>
              <w:ind w:left="442"/>
              <w:spacing w:after="0"/>
              <w:rPr>
                <w:sz w:val="20"/>
                <w:szCs w:val="20"/>
                <w:color w:val="auto"/>
              </w:rPr>
            </w:pPr>
            <w:r>
              <w:rPr>
                <w:rFonts w:ascii="Arial" w:cs="Arial" w:eastAsia="Arial" w:hAnsi="Arial"/>
                <w:sz w:val="20"/>
                <w:szCs w:val="20"/>
                <w:color w:val="auto"/>
                <w:w w:val="99"/>
              </w:rPr>
              <w:t>FOR</w:t>
            </w:r>
          </w:p>
        </w:tc>
        <w:tc>
          <w:tcPr>
            <w:tcW w:w="1180" w:type="dxa"/>
            <w:vAlign w:val="bottom"/>
            <w:vMerge w:val="restart"/>
            <w:shd w:val="clear" w:color="auto" w:fill="E5F5FB"/>
          </w:tcPr>
          <w:p>
            <w:pPr>
              <w:jc w:val="right"/>
              <w:ind w:right="122"/>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166"/>
        </w:trPr>
        <w:tc>
          <w:tcPr>
            <w:tcW w:w="680" w:type="dxa"/>
            <w:vAlign w:val="bottom"/>
            <w:shd w:val="clear" w:color="auto" w:fill="E5F5FB"/>
          </w:tcPr>
          <w:p>
            <w:pPr>
              <w:spacing w:after="0"/>
              <w:rPr>
                <w:sz w:val="14"/>
                <w:szCs w:val="14"/>
                <w:color w:val="auto"/>
              </w:rPr>
            </w:pPr>
          </w:p>
        </w:tc>
        <w:tc>
          <w:tcPr>
            <w:tcW w:w="6300" w:type="dxa"/>
            <w:vAlign w:val="bottom"/>
            <w:vMerge w:val="restart"/>
            <w:shd w:val="clear" w:color="auto" w:fill="E5F5FB"/>
          </w:tcPr>
          <w:p>
            <w:pPr>
              <w:ind w:left="220"/>
              <w:spacing w:after="0"/>
              <w:rPr>
                <w:sz w:val="20"/>
                <w:szCs w:val="20"/>
                <w:color w:val="auto"/>
              </w:rPr>
            </w:pPr>
            <w:r>
              <w:rPr>
                <w:rFonts w:ascii="Arial" w:cs="Arial" w:eastAsia="Arial" w:hAnsi="Arial"/>
                <w:sz w:val="20"/>
                <w:szCs w:val="20"/>
                <w:b w:val="1"/>
                <w:bCs w:val="1"/>
                <w:i w:val="1"/>
                <w:iCs w:val="1"/>
                <w:color w:val="0033A0"/>
              </w:rPr>
              <w:t>Incentive Plan</w:t>
            </w:r>
          </w:p>
        </w:tc>
        <w:tc>
          <w:tcPr>
            <w:tcW w:w="2760" w:type="dxa"/>
            <w:vAlign w:val="bottom"/>
            <w:vMerge w:val="continue"/>
            <w:shd w:val="clear" w:color="auto" w:fill="E5F5FB"/>
          </w:tcPr>
          <w:p>
            <w:pPr>
              <w:spacing w:after="0"/>
              <w:rPr>
                <w:sz w:val="14"/>
                <w:szCs w:val="14"/>
                <w:color w:val="auto"/>
              </w:rPr>
            </w:pPr>
          </w:p>
        </w:tc>
        <w:tc>
          <w:tcPr>
            <w:tcW w:w="1180" w:type="dxa"/>
            <w:vAlign w:val="bottom"/>
            <w:vMerge w:val="continue"/>
            <w:shd w:val="clear" w:color="auto" w:fill="E5F5FB"/>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680" w:type="dxa"/>
            <w:vAlign w:val="bottom"/>
            <w:shd w:val="clear" w:color="auto" w:fill="E5F5FB"/>
          </w:tcPr>
          <w:p>
            <w:pPr>
              <w:spacing w:after="0"/>
              <w:rPr>
                <w:sz w:val="8"/>
                <w:szCs w:val="8"/>
                <w:color w:val="auto"/>
              </w:rPr>
            </w:pPr>
          </w:p>
        </w:tc>
        <w:tc>
          <w:tcPr>
            <w:tcW w:w="6300" w:type="dxa"/>
            <w:vAlign w:val="bottom"/>
            <w:vMerge w:val="continue"/>
            <w:shd w:val="clear" w:color="auto" w:fill="E5F5FB"/>
          </w:tcPr>
          <w:p>
            <w:pPr>
              <w:spacing w:after="0"/>
              <w:rPr>
                <w:sz w:val="8"/>
                <w:szCs w:val="8"/>
                <w:color w:val="auto"/>
              </w:rPr>
            </w:pPr>
          </w:p>
        </w:tc>
        <w:tc>
          <w:tcPr>
            <w:tcW w:w="2760" w:type="dxa"/>
            <w:vAlign w:val="bottom"/>
            <w:shd w:val="clear" w:color="auto" w:fill="E5F5FB"/>
          </w:tcPr>
          <w:p>
            <w:pPr>
              <w:spacing w:after="0"/>
              <w:rPr>
                <w:sz w:val="8"/>
                <w:szCs w:val="8"/>
                <w:color w:val="auto"/>
              </w:rPr>
            </w:pPr>
          </w:p>
        </w:tc>
        <w:tc>
          <w:tcPr>
            <w:tcW w:w="1180" w:type="dxa"/>
            <w:vAlign w:val="bottom"/>
            <w:shd w:val="clear" w:color="auto" w:fill="E5F5FB"/>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300" w:type="dxa"/>
            <w:vAlign w:val="bottom"/>
            <w:tcBorders>
              <w:bottom w:val="single" w:sz="8" w:color="0033A0"/>
            </w:tcBorders>
            <w:shd w:val="clear" w:color="auto" w:fill="E5F5FB"/>
          </w:tcPr>
          <w:p>
            <w:pPr>
              <w:spacing w:after="0"/>
              <w:rPr>
                <w:sz w:val="10"/>
                <w:szCs w:val="10"/>
                <w:color w:val="auto"/>
              </w:rPr>
            </w:pPr>
          </w:p>
        </w:tc>
        <w:tc>
          <w:tcPr>
            <w:tcW w:w="2760" w:type="dxa"/>
            <w:vAlign w:val="bottom"/>
            <w:tcBorders>
              <w:bottom w:val="single" w:sz="8" w:color="0033A0"/>
            </w:tcBorders>
            <w:shd w:val="clear" w:color="auto" w:fill="E5F5FB"/>
          </w:tcPr>
          <w:p>
            <w:pPr>
              <w:spacing w:after="0"/>
              <w:rPr>
                <w:sz w:val="10"/>
                <w:szCs w:val="10"/>
                <w:color w:val="auto"/>
              </w:rPr>
            </w:pPr>
          </w:p>
        </w:tc>
        <w:tc>
          <w:tcPr>
            <w:tcW w:w="1180" w:type="dxa"/>
            <w:vAlign w:val="bottom"/>
            <w:tcBorders>
              <w:bottom w:val="single" w:sz="8" w:color="0033A0"/>
            </w:tcBorders>
            <w:shd w:val="clear" w:color="auto" w:fill="E5F5FB"/>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467360</wp:posOffset>
            </wp:positionV>
            <wp:extent cx="6946900" cy="365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6900" cy="36512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540"/>
        <w:spacing w:after="0"/>
        <w:rPr>
          <w:sz w:val="20"/>
          <w:szCs w:val="20"/>
          <w:color w:val="auto"/>
        </w:rPr>
      </w:pPr>
      <w:r>
        <w:rPr>
          <w:rFonts w:ascii="Arial" w:cs="Arial" w:eastAsia="Arial" w:hAnsi="Arial"/>
          <w:sz w:val="21"/>
          <w:szCs w:val="21"/>
          <w:b w:val="1"/>
          <w:bCs w:val="1"/>
          <w:color w:val="0033A0"/>
        </w:rPr>
        <w:t>SHAREHOLDER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BOARD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0033A0"/>
        </w:rPr>
        <w:t>PAGE</w:t>
      </w:r>
    </w:p>
    <w:p>
      <w:pPr>
        <w:spacing w:after="0" w:line="346" w:lineRule="exact"/>
        <w:rPr>
          <w:sz w:val="20"/>
          <w:szCs w:val="20"/>
          <w:color w:val="auto"/>
        </w:rPr>
      </w:pPr>
    </w:p>
    <w:p>
      <w:pPr>
        <w:sectPr>
          <w:pgSz w:w="11900" w:h="16838" w:orient="portrait"/>
          <w:cols w:equalWidth="0" w:num="3">
            <w:col w:w="7120" w:space="720"/>
            <w:col w:w="2080" w:space="520"/>
            <w:col w:w="640"/>
          </w:cols>
          <w:pgMar w:left="320" w:top="456" w:right="499" w:bottom="1440" w:gutter="0" w:footer="0" w:header="0"/>
          <w:type w:val="continuous"/>
        </w:sectPr>
      </w:pPr>
    </w:p>
    <w:p>
      <w:pPr>
        <w:spacing w:after="0" w:line="53" w:lineRule="exact"/>
        <w:rPr>
          <w:sz w:val="20"/>
          <w:szCs w:val="20"/>
          <w:color w:val="auto"/>
        </w:rPr>
      </w:pPr>
    </w:p>
    <w:tbl>
      <w:tblPr>
        <w:tblLayout w:type="fixed"/>
        <w:tblInd w:w="160" w:type="dxa"/>
        <w:tblCellMar>
          <w:top w:w="0" w:type="dxa"/>
          <w:left w:w="0" w:type="dxa"/>
          <w:bottom w:w="0" w:type="dxa"/>
          <w:right w:w="0" w:type="dxa"/>
        </w:tblCellMar>
      </w:tblPr>
      <w:tr>
        <w:trPr>
          <w:trHeight w:val="366"/>
        </w:trPr>
        <w:tc>
          <w:tcPr>
            <w:tcW w:w="680" w:type="dxa"/>
            <w:vAlign w:val="bottom"/>
            <w:tcBorders>
              <w:top w:val="single" w:sz="8" w:color="0033A0"/>
            </w:tcBorders>
            <w:shd w:val="clear" w:color="auto" w:fill="E5F5FB"/>
          </w:tcPr>
          <w:p>
            <w:pPr>
              <w:ind w:left="60"/>
              <w:spacing w:after="0"/>
              <w:rPr>
                <w:sz w:val="20"/>
                <w:szCs w:val="20"/>
                <w:color w:val="auto"/>
              </w:rPr>
            </w:pPr>
            <w:r>
              <w:rPr>
                <w:rFonts w:ascii="Arial" w:cs="Arial" w:eastAsia="Arial" w:hAnsi="Arial"/>
                <w:sz w:val="20"/>
                <w:szCs w:val="20"/>
                <w:b w:val="1"/>
                <w:bCs w:val="1"/>
                <w:color w:val="auto"/>
              </w:rPr>
              <w:t>Item 6</w:t>
            </w:r>
          </w:p>
        </w:tc>
        <w:tc>
          <w:tcPr>
            <w:tcW w:w="6520" w:type="dxa"/>
            <w:vAlign w:val="bottom"/>
            <w:tcBorders>
              <w:top w:val="single" w:sz="8" w:color="0033A0"/>
            </w:tcBorders>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Shareholder Written Consent</w:t>
            </w:r>
          </w:p>
        </w:tc>
        <w:tc>
          <w:tcPr>
            <w:tcW w:w="2620" w:type="dxa"/>
            <w:vAlign w:val="bottom"/>
            <w:tcBorders>
              <w:top w:val="single" w:sz="8" w:color="0033A0"/>
            </w:tcBorders>
            <w:shd w:val="clear" w:color="auto" w:fill="E5F5FB"/>
          </w:tcPr>
          <w:p>
            <w:pPr>
              <w:ind w:left="1100"/>
              <w:spacing w:after="0"/>
              <w:rPr>
                <w:sz w:val="20"/>
                <w:szCs w:val="20"/>
                <w:color w:val="auto"/>
              </w:rPr>
            </w:pPr>
            <w:r>
              <w:rPr>
                <w:rFonts w:ascii="Arial" w:cs="Arial" w:eastAsia="Arial" w:hAnsi="Arial"/>
                <w:sz w:val="20"/>
                <w:szCs w:val="20"/>
                <w:color w:val="auto"/>
              </w:rPr>
              <w:t>AGAINST</w:t>
            </w:r>
          </w:p>
        </w:tc>
        <w:tc>
          <w:tcPr>
            <w:tcW w:w="1100" w:type="dxa"/>
            <w:vAlign w:val="bottom"/>
            <w:tcBorders>
              <w:top w:val="single" w:sz="8" w:color="0033A0"/>
            </w:tcBorders>
            <w:shd w:val="clear" w:color="auto" w:fill="E5F5FB"/>
          </w:tcPr>
          <w:p>
            <w:pPr>
              <w:jc w:val="right"/>
              <w:ind w:right="122"/>
              <w:spacing w:after="0"/>
              <w:rPr>
                <w:sz w:val="20"/>
                <w:szCs w:val="20"/>
                <w:color w:val="auto"/>
              </w:rPr>
            </w:pPr>
            <w:r>
              <w:rPr>
                <w:rFonts w:ascii="Arial" w:cs="Arial" w:eastAsia="Arial" w:hAnsi="Arial"/>
                <w:sz w:val="20"/>
                <w:szCs w:val="20"/>
                <w:color w:val="auto"/>
              </w:rPr>
              <w:t>89</w:t>
            </w: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520" w:type="dxa"/>
            <w:vAlign w:val="bottom"/>
            <w:tcBorders>
              <w:bottom w:val="single" w:sz="8" w:color="0033A0"/>
            </w:tcBorders>
            <w:shd w:val="clear" w:color="auto" w:fill="E5F5FB"/>
          </w:tcPr>
          <w:p>
            <w:pPr>
              <w:spacing w:after="0"/>
              <w:rPr>
                <w:sz w:val="10"/>
                <w:szCs w:val="10"/>
                <w:color w:val="auto"/>
              </w:rPr>
            </w:pPr>
          </w:p>
        </w:tc>
        <w:tc>
          <w:tcPr>
            <w:tcW w:w="2620" w:type="dxa"/>
            <w:vAlign w:val="bottom"/>
            <w:tcBorders>
              <w:bottom w:val="single" w:sz="8" w:color="0033A0"/>
            </w:tcBorders>
            <w:shd w:val="clear" w:color="auto" w:fill="E5F5FB"/>
          </w:tcPr>
          <w:p>
            <w:pPr>
              <w:spacing w:after="0"/>
              <w:rPr>
                <w:sz w:val="10"/>
                <w:szCs w:val="10"/>
                <w:color w:val="auto"/>
              </w:rPr>
            </w:pPr>
          </w:p>
        </w:tc>
        <w:tc>
          <w:tcPr>
            <w:tcW w:w="1100" w:type="dxa"/>
            <w:vAlign w:val="bottom"/>
            <w:tcBorders>
              <w:bottom w:val="single" w:sz="8" w:color="0033A0"/>
            </w:tcBorders>
            <w:shd w:val="clear" w:color="auto" w:fill="E5F5FB"/>
          </w:tcPr>
          <w:p>
            <w:pPr>
              <w:spacing w:after="0"/>
              <w:rPr>
                <w:sz w:val="10"/>
                <w:szCs w:val="10"/>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520" w:type="dxa"/>
            <w:vAlign w:val="bottom"/>
            <w:tcBorders>
              <w:bottom w:val="single" w:sz="8" w:color="0033A0"/>
            </w:tcBorders>
          </w:tcPr>
          <w:p>
            <w:pPr>
              <w:spacing w:after="0"/>
              <w:rPr>
                <w:sz w:val="20"/>
                <w:szCs w:val="20"/>
                <w:color w:val="auto"/>
              </w:rPr>
            </w:pPr>
          </w:p>
        </w:tc>
        <w:tc>
          <w:tcPr>
            <w:tcW w:w="2620" w:type="dxa"/>
            <w:vAlign w:val="bottom"/>
            <w:tcBorders>
              <w:bottom w:val="single" w:sz="8" w:color="0033A0"/>
            </w:tcBorders>
          </w:tcPr>
          <w:p>
            <w:pPr>
              <w:spacing w:after="0"/>
              <w:rPr>
                <w:sz w:val="20"/>
                <w:szCs w:val="20"/>
                <w:color w:val="auto"/>
              </w:rPr>
            </w:pPr>
          </w:p>
        </w:tc>
        <w:tc>
          <w:tcPr>
            <w:tcW w:w="1100" w:type="dxa"/>
            <w:vAlign w:val="bottom"/>
            <w:tcBorders>
              <w:bottom w:val="single" w:sz="8" w:color="0033A0"/>
            </w:tcBorders>
          </w:tcPr>
          <w:p>
            <w:pPr>
              <w:spacing w:after="0"/>
              <w:rPr>
                <w:sz w:val="20"/>
                <w:szCs w:val="20"/>
                <w:color w:val="auto"/>
              </w:rPr>
            </w:pPr>
          </w:p>
        </w:tc>
      </w:tr>
      <w:tr>
        <w:trPr>
          <w:trHeight w:val="346"/>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7</w:t>
            </w:r>
          </w:p>
        </w:tc>
        <w:tc>
          <w:tcPr>
            <w:tcW w:w="652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Proxy Access Amendment: Shareholder Aggregation Limit</w:t>
            </w:r>
          </w:p>
        </w:tc>
        <w:tc>
          <w:tcPr>
            <w:tcW w:w="2620" w:type="dxa"/>
            <w:vAlign w:val="bottom"/>
            <w:shd w:val="clear" w:color="auto" w:fill="E5F5FB"/>
          </w:tcPr>
          <w:p>
            <w:pPr>
              <w:ind w:left="1100"/>
              <w:spacing w:after="0"/>
              <w:rPr>
                <w:sz w:val="20"/>
                <w:szCs w:val="20"/>
                <w:color w:val="auto"/>
              </w:rPr>
            </w:pPr>
            <w:r>
              <w:rPr>
                <w:rFonts w:ascii="Arial" w:cs="Arial" w:eastAsia="Arial" w:hAnsi="Arial"/>
                <w:sz w:val="20"/>
                <w:szCs w:val="20"/>
                <w:color w:val="auto"/>
              </w:rPr>
              <w:t>AGAINST</w:t>
            </w:r>
          </w:p>
        </w:tc>
        <w:tc>
          <w:tcPr>
            <w:tcW w:w="1100" w:type="dxa"/>
            <w:vAlign w:val="bottom"/>
            <w:shd w:val="clear" w:color="auto" w:fill="E5F5FB"/>
          </w:tcPr>
          <w:p>
            <w:pPr>
              <w:jc w:val="right"/>
              <w:ind w:right="122"/>
              <w:spacing w:after="0"/>
              <w:rPr>
                <w:sz w:val="20"/>
                <w:szCs w:val="20"/>
                <w:color w:val="auto"/>
              </w:rPr>
            </w:pPr>
            <w:r>
              <w:rPr>
                <w:rFonts w:ascii="Arial" w:cs="Arial" w:eastAsia="Arial" w:hAnsi="Arial"/>
                <w:sz w:val="20"/>
                <w:szCs w:val="20"/>
                <w:color w:val="auto"/>
              </w:rPr>
              <w:t>91</w:t>
            </w: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520" w:type="dxa"/>
            <w:vAlign w:val="bottom"/>
            <w:tcBorders>
              <w:bottom w:val="single" w:sz="8" w:color="0033A0"/>
            </w:tcBorders>
            <w:shd w:val="clear" w:color="auto" w:fill="E5F5FB"/>
          </w:tcPr>
          <w:p>
            <w:pPr>
              <w:spacing w:after="0"/>
              <w:rPr>
                <w:sz w:val="10"/>
                <w:szCs w:val="10"/>
                <w:color w:val="auto"/>
              </w:rPr>
            </w:pPr>
          </w:p>
        </w:tc>
        <w:tc>
          <w:tcPr>
            <w:tcW w:w="2620" w:type="dxa"/>
            <w:vAlign w:val="bottom"/>
            <w:tcBorders>
              <w:bottom w:val="single" w:sz="8" w:color="0033A0"/>
            </w:tcBorders>
            <w:shd w:val="clear" w:color="auto" w:fill="E5F5FB"/>
          </w:tcPr>
          <w:p>
            <w:pPr>
              <w:spacing w:after="0"/>
              <w:rPr>
                <w:sz w:val="10"/>
                <w:szCs w:val="10"/>
                <w:color w:val="auto"/>
              </w:rPr>
            </w:pPr>
          </w:p>
        </w:tc>
        <w:tc>
          <w:tcPr>
            <w:tcW w:w="1100" w:type="dxa"/>
            <w:vAlign w:val="bottom"/>
            <w:tcBorders>
              <w:bottom w:val="single" w:sz="8" w:color="0033A0"/>
            </w:tcBorders>
            <w:shd w:val="clear" w:color="auto" w:fill="E5F5FB"/>
          </w:tcPr>
          <w:p>
            <w:pPr>
              <w:spacing w:after="0"/>
              <w:rPr>
                <w:sz w:val="10"/>
                <w:szCs w:val="10"/>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520" w:type="dxa"/>
            <w:vAlign w:val="bottom"/>
            <w:tcBorders>
              <w:bottom w:val="single" w:sz="8" w:color="0033A0"/>
            </w:tcBorders>
          </w:tcPr>
          <w:p>
            <w:pPr>
              <w:spacing w:after="0"/>
              <w:rPr>
                <w:sz w:val="20"/>
                <w:szCs w:val="20"/>
                <w:color w:val="auto"/>
              </w:rPr>
            </w:pPr>
          </w:p>
        </w:tc>
        <w:tc>
          <w:tcPr>
            <w:tcW w:w="2620" w:type="dxa"/>
            <w:vAlign w:val="bottom"/>
            <w:tcBorders>
              <w:bottom w:val="single" w:sz="8" w:color="0033A0"/>
            </w:tcBorders>
          </w:tcPr>
          <w:p>
            <w:pPr>
              <w:spacing w:after="0"/>
              <w:rPr>
                <w:sz w:val="20"/>
                <w:szCs w:val="20"/>
                <w:color w:val="auto"/>
              </w:rPr>
            </w:pPr>
          </w:p>
        </w:tc>
        <w:tc>
          <w:tcPr>
            <w:tcW w:w="1100" w:type="dxa"/>
            <w:vAlign w:val="bottom"/>
            <w:tcBorders>
              <w:bottom w:val="single" w:sz="8" w:color="0033A0"/>
            </w:tcBorders>
          </w:tcPr>
          <w:p>
            <w:pPr>
              <w:spacing w:after="0"/>
              <w:rPr>
                <w:sz w:val="20"/>
                <w:szCs w:val="20"/>
                <w:color w:val="auto"/>
              </w:rPr>
            </w:pPr>
          </w:p>
        </w:tc>
      </w:tr>
      <w:tr>
        <w:trPr>
          <w:trHeight w:val="346"/>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8</w:t>
            </w:r>
          </w:p>
        </w:tc>
        <w:tc>
          <w:tcPr>
            <w:tcW w:w="652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Report on Human Rights Policy Implementation</w:t>
            </w:r>
          </w:p>
        </w:tc>
        <w:tc>
          <w:tcPr>
            <w:tcW w:w="2620" w:type="dxa"/>
            <w:vAlign w:val="bottom"/>
            <w:shd w:val="clear" w:color="auto" w:fill="E5F5FB"/>
          </w:tcPr>
          <w:p>
            <w:pPr>
              <w:ind w:left="1100"/>
              <w:spacing w:after="0"/>
              <w:rPr>
                <w:sz w:val="20"/>
                <w:szCs w:val="20"/>
                <w:color w:val="auto"/>
              </w:rPr>
            </w:pPr>
            <w:r>
              <w:rPr>
                <w:rFonts w:ascii="Arial" w:cs="Arial" w:eastAsia="Arial" w:hAnsi="Arial"/>
                <w:sz w:val="20"/>
                <w:szCs w:val="20"/>
                <w:color w:val="auto"/>
              </w:rPr>
              <w:t>AGAINST</w:t>
            </w:r>
          </w:p>
        </w:tc>
        <w:tc>
          <w:tcPr>
            <w:tcW w:w="1100" w:type="dxa"/>
            <w:vAlign w:val="bottom"/>
            <w:shd w:val="clear" w:color="auto" w:fill="E5F5FB"/>
          </w:tcPr>
          <w:p>
            <w:pPr>
              <w:jc w:val="right"/>
              <w:ind w:right="122"/>
              <w:spacing w:after="0"/>
              <w:rPr>
                <w:sz w:val="20"/>
                <w:szCs w:val="20"/>
                <w:color w:val="auto"/>
              </w:rPr>
            </w:pPr>
            <w:r>
              <w:rPr>
                <w:rFonts w:ascii="Arial" w:cs="Arial" w:eastAsia="Arial" w:hAnsi="Arial"/>
                <w:sz w:val="20"/>
                <w:szCs w:val="20"/>
                <w:color w:val="auto"/>
              </w:rPr>
              <w:t>93</w:t>
            </w: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520" w:type="dxa"/>
            <w:vAlign w:val="bottom"/>
            <w:tcBorders>
              <w:bottom w:val="single" w:sz="8" w:color="0033A0"/>
            </w:tcBorders>
            <w:shd w:val="clear" w:color="auto" w:fill="E5F5FB"/>
          </w:tcPr>
          <w:p>
            <w:pPr>
              <w:spacing w:after="0"/>
              <w:rPr>
                <w:sz w:val="10"/>
                <w:szCs w:val="10"/>
                <w:color w:val="auto"/>
              </w:rPr>
            </w:pPr>
          </w:p>
        </w:tc>
        <w:tc>
          <w:tcPr>
            <w:tcW w:w="2620" w:type="dxa"/>
            <w:vAlign w:val="bottom"/>
            <w:tcBorders>
              <w:bottom w:val="single" w:sz="8" w:color="0033A0"/>
            </w:tcBorders>
            <w:shd w:val="clear" w:color="auto" w:fill="E5F5FB"/>
          </w:tcPr>
          <w:p>
            <w:pPr>
              <w:spacing w:after="0"/>
              <w:rPr>
                <w:sz w:val="10"/>
                <w:szCs w:val="10"/>
                <w:color w:val="auto"/>
              </w:rPr>
            </w:pPr>
          </w:p>
        </w:tc>
        <w:tc>
          <w:tcPr>
            <w:tcW w:w="1100" w:type="dxa"/>
            <w:vAlign w:val="bottom"/>
            <w:tcBorders>
              <w:bottom w:val="single" w:sz="8" w:color="0033A0"/>
            </w:tcBorders>
            <w:shd w:val="clear" w:color="auto" w:fill="E5F5FB"/>
          </w:tcPr>
          <w:p>
            <w:pPr>
              <w:spacing w:after="0"/>
              <w:rPr>
                <w:sz w:val="10"/>
                <w:szCs w:val="10"/>
                <w:color w:val="auto"/>
              </w:rPr>
            </w:pPr>
          </w:p>
        </w:tc>
      </w:tr>
      <w:tr>
        <w:trPr>
          <w:trHeight w:val="234"/>
        </w:trPr>
        <w:tc>
          <w:tcPr>
            <w:tcW w:w="680" w:type="dxa"/>
            <w:vAlign w:val="bottom"/>
            <w:tcBorders>
              <w:bottom w:val="single" w:sz="8" w:color="0033A0"/>
            </w:tcBorders>
          </w:tcPr>
          <w:p>
            <w:pPr>
              <w:spacing w:after="0"/>
              <w:rPr>
                <w:sz w:val="20"/>
                <w:szCs w:val="20"/>
                <w:color w:val="auto"/>
              </w:rPr>
            </w:pPr>
          </w:p>
        </w:tc>
        <w:tc>
          <w:tcPr>
            <w:tcW w:w="6520" w:type="dxa"/>
            <w:vAlign w:val="bottom"/>
            <w:tcBorders>
              <w:bottom w:val="single" w:sz="8" w:color="0033A0"/>
            </w:tcBorders>
          </w:tcPr>
          <w:p>
            <w:pPr>
              <w:spacing w:after="0"/>
              <w:rPr>
                <w:sz w:val="20"/>
                <w:szCs w:val="20"/>
                <w:color w:val="auto"/>
              </w:rPr>
            </w:pPr>
          </w:p>
        </w:tc>
        <w:tc>
          <w:tcPr>
            <w:tcW w:w="2620" w:type="dxa"/>
            <w:vAlign w:val="bottom"/>
            <w:tcBorders>
              <w:bottom w:val="single" w:sz="8" w:color="0033A0"/>
            </w:tcBorders>
          </w:tcPr>
          <w:p>
            <w:pPr>
              <w:spacing w:after="0"/>
              <w:rPr>
                <w:sz w:val="20"/>
                <w:szCs w:val="20"/>
                <w:color w:val="auto"/>
              </w:rPr>
            </w:pPr>
          </w:p>
        </w:tc>
        <w:tc>
          <w:tcPr>
            <w:tcW w:w="1100" w:type="dxa"/>
            <w:vAlign w:val="bottom"/>
            <w:tcBorders>
              <w:bottom w:val="single" w:sz="8" w:color="0033A0"/>
            </w:tcBorders>
          </w:tcPr>
          <w:p>
            <w:pPr>
              <w:spacing w:after="0"/>
              <w:rPr>
                <w:sz w:val="20"/>
                <w:szCs w:val="20"/>
                <w:color w:val="auto"/>
              </w:rPr>
            </w:pPr>
          </w:p>
        </w:tc>
      </w:tr>
      <w:tr>
        <w:trPr>
          <w:trHeight w:val="346"/>
        </w:trPr>
        <w:tc>
          <w:tcPr>
            <w:tcW w:w="68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Item 9</w:t>
            </w:r>
          </w:p>
        </w:tc>
        <w:tc>
          <w:tcPr>
            <w:tcW w:w="6520" w:type="dxa"/>
            <w:vAlign w:val="bottom"/>
            <w:shd w:val="clear" w:color="auto" w:fill="E5F5FB"/>
          </w:tcPr>
          <w:p>
            <w:pPr>
              <w:ind w:left="60"/>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0033A0"/>
              </w:rPr>
              <w:t>Report on Lobbying Communications and Activities</w:t>
            </w:r>
          </w:p>
        </w:tc>
        <w:tc>
          <w:tcPr>
            <w:tcW w:w="2620" w:type="dxa"/>
            <w:vAlign w:val="bottom"/>
            <w:shd w:val="clear" w:color="auto" w:fill="E5F5FB"/>
          </w:tcPr>
          <w:p>
            <w:pPr>
              <w:ind w:left="1100"/>
              <w:spacing w:after="0"/>
              <w:rPr>
                <w:sz w:val="20"/>
                <w:szCs w:val="20"/>
                <w:color w:val="auto"/>
              </w:rPr>
            </w:pPr>
            <w:r>
              <w:rPr>
                <w:rFonts w:ascii="Arial" w:cs="Arial" w:eastAsia="Arial" w:hAnsi="Arial"/>
                <w:sz w:val="20"/>
                <w:szCs w:val="20"/>
                <w:color w:val="auto"/>
              </w:rPr>
              <w:t>AGAINST</w:t>
            </w:r>
          </w:p>
        </w:tc>
        <w:tc>
          <w:tcPr>
            <w:tcW w:w="1100" w:type="dxa"/>
            <w:vAlign w:val="bottom"/>
            <w:shd w:val="clear" w:color="auto" w:fill="E5F5FB"/>
          </w:tcPr>
          <w:p>
            <w:pPr>
              <w:jc w:val="right"/>
              <w:ind w:right="122"/>
              <w:spacing w:after="0"/>
              <w:rPr>
                <w:sz w:val="20"/>
                <w:szCs w:val="20"/>
                <w:color w:val="auto"/>
              </w:rPr>
            </w:pPr>
            <w:r>
              <w:rPr>
                <w:rFonts w:ascii="Arial" w:cs="Arial" w:eastAsia="Arial" w:hAnsi="Arial"/>
                <w:sz w:val="20"/>
                <w:szCs w:val="20"/>
                <w:color w:val="auto"/>
              </w:rPr>
              <w:t>95</w:t>
            </w:r>
          </w:p>
        </w:tc>
      </w:tr>
      <w:tr>
        <w:trPr>
          <w:trHeight w:val="116"/>
        </w:trPr>
        <w:tc>
          <w:tcPr>
            <w:tcW w:w="680" w:type="dxa"/>
            <w:vAlign w:val="bottom"/>
            <w:tcBorders>
              <w:bottom w:val="single" w:sz="8" w:color="0033A0"/>
            </w:tcBorders>
            <w:shd w:val="clear" w:color="auto" w:fill="E5F5FB"/>
          </w:tcPr>
          <w:p>
            <w:pPr>
              <w:spacing w:after="0"/>
              <w:rPr>
                <w:sz w:val="10"/>
                <w:szCs w:val="10"/>
                <w:color w:val="auto"/>
              </w:rPr>
            </w:pPr>
          </w:p>
        </w:tc>
        <w:tc>
          <w:tcPr>
            <w:tcW w:w="6520" w:type="dxa"/>
            <w:vAlign w:val="bottom"/>
            <w:tcBorders>
              <w:bottom w:val="single" w:sz="8" w:color="0033A0"/>
            </w:tcBorders>
            <w:shd w:val="clear" w:color="auto" w:fill="E5F5FB"/>
          </w:tcPr>
          <w:p>
            <w:pPr>
              <w:spacing w:after="0"/>
              <w:rPr>
                <w:sz w:val="10"/>
                <w:szCs w:val="10"/>
                <w:color w:val="auto"/>
              </w:rPr>
            </w:pPr>
          </w:p>
        </w:tc>
        <w:tc>
          <w:tcPr>
            <w:tcW w:w="2620" w:type="dxa"/>
            <w:vAlign w:val="bottom"/>
            <w:tcBorders>
              <w:bottom w:val="single" w:sz="8" w:color="0033A0"/>
            </w:tcBorders>
            <w:shd w:val="clear" w:color="auto" w:fill="E5F5FB"/>
          </w:tcPr>
          <w:p>
            <w:pPr>
              <w:spacing w:after="0"/>
              <w:rPr>
                <w:sz w:val="10"/>
                <w:szCs w:val="10"/>
                <w:color w:val="auto"/>
              </w:rPr>
            </w:pPr>
          </w:p>
        </w:tc>
        <w:tc>
          <w:tcPr>
            <w:tcW w:w="1100" w:type="dxa"/>
            <w:vAlign w:val="bottom"/>
            <w:tcBorders>
              <w:bottom w:val="single" w:sz="8" w:color="0033A0"/>
            </w:tcBorders>
            <w:shd w:val="clear" w:color="auto" w:fill="E5F5FB"/>
          </w:tcPr>
          <w:p>
            <w:pPr>
              <w:spacing w:after="0"/>
              <w:rPr>
                <w:sz w:val="10"/>
                <w:szCs w:val="10"/>
                <w:color w:val="auto"/>
              </w:rPr>
            </w:pPr>
          </w:p>
        </w:tc>
      </w:tr>
    </w:tbl>
    <w:p>
      <w:pPr>
        <w:spacing w:after="0" w:line="133" w:lineRule="exact"/>
        <w:rPr>
          <w:sz w:val="20"/>
          <w:szCs w:val="20"/>
          <w:color w:val="auto"/>
        </w:rPr>
      </w:pPr>
    </w:p>
    <w:p>
      <w:pPr>
        <w:ind w:left="180"/>
        <w:spacing w:after="0"/>
        <w:rPr>
          <w:sz w:val="20"/>
          <w:szCs w:val="20"/>
          <w:color w:val="auto"/>
        </w:rPr>
      </w:pPr>
      <w:r>
        <w:rPr>
          <w:sz w:val="1"/>
          <w:szCs w:val="1"/>
          <w:color w:val="auto"/>
        </w:rPr>
        <w:drawing>
          <wp:inline distT="0" distB="0" distL="0" distR="0">
            <wp:extent cx="6793865" cy="101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r>
        <w:rPr>
          <w:rFonts w:ascii="Arial" w:cs="Arial" w:eastAsia="Arial" w:hAnsi="Arial"/>
          <w:sz w:val="14"/>
          <w:szCs w:val="14"/>
          <w:color w:val="0033A0"/>
        </w:rPr>
        <w:t xml:space="preserve"> 1</w:t>
      </w:r>
    </w:p>
    <w:p>
      <w:pPr>
        <w:sectPr>
          <w:pgSz w:w="11900" w:h="16838" w:orient="portrait"/>
          <w:cols w:equalWidth="0" w:num="1">
            <w:col w:w="11080"/>
          </w:cols>
          <w:pgMar w:left="320" w:top="456"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BOARD OF DIRECTORS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Snapshot of Your Board Nominees</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420" w:type="dxa"/>
            <w:vAlign w:val="bottom"/>
          </w:tcPr>
          <w:p>
            <w:pPr>
              <w:ind w:left="2700"/>
              <w:spacing w:after="0"/>
              <w:rPr>
                <w:sz w:val="20"/>
                <w:szCs w:val="20"/>
                <w:color w:val="auto"/>
              </w:rPr>
            </w:pPr>
            <w:r>
              <w:rPr>
                <w:rFonts w:ascii="Arial" w:cs="Arial" w:eastAsia="Arial" w:hAnsi="Arial"/>
                <w:sz w:val="14"/>
                <w:szCs w:val="14"/>
                <w:b w:val="1"/>
                <w:bCs w:val="1"/>
                <w:color w:val="0033A0"/>
              </w:rPr>
              <w:t>Director</w:t>
            </w:r>
          </w:p>
        </w:tc>
        <w:tc>
          <w:tcPr>
            <w:tcW w:w="2180" w:type="dxa"/>
            <w:vAlign w:val="bottom"/>
          </w:tcPr>
          <w:p>
            <w:pPr>
              <w:spacing w:after="0"/>
              <w:rPr>
                <w:sz w:val="14"/>
                <w:szCs w:val="14"/>
                <w:color w:val="auto"/>
              </w:rPr>
            </w:pPr>
          </w:p>
        </w:tc>
      </w:tr>
      <w:tr>
        <w:trPr>
          <w:trHeight w:val="202"/>
        </w:trPr>
        <w:tc>
          <w:tcPr>
            <w:tcW w:w="4320" w:type="dxa"/>
            <w:vAlign w:val="bottom"/>
          </w:tcPr>
          <w:p>
            <w:pPr>
              <w:spacing w:after="0"/>
              <w:rPr>
                <w:sz w:val="20"/>
                <w:szCs w:val="20"/>
                <w:color w:val="auto"/>
              </w:rPr>
            </w:pPr>
            <w:r>
              <w:rPr>
                <w:rFonts w:ascii="Arial" w:cs="Arial" w:eastAsia="Arial" w:hAnsi="Arial"/>
                <w:sz w:val="14"/>
                <w:szCs w:val="14"/>
                <w:b w:val="1"/>
                <w:bCs w:val="1"/>
                <w:color w:val="0033A0"/>
              </w:rPr>
              <w:t>Name &amp; Principal Occupation</w:t>
            </w:r>
          </w:p>
        </w:tc>
        <w:tc>
          <w:tcPr>
            <w:tcW w:w="4420" w:type="dxa"/>
            <w:vAlign w:val="bottom"/>
          </w:tcPr>
          <w:p>
            <w:pPr>
              <w:ind w:left="2320"/>
              <w:spacing w:after="0"/>
              <w:rPr>
                <w:sz w:val="20"/>
                <w:szCs w:val="20"/>
                <w:color w:val="auto"/>
              </w:rPr>
            </w:pPr>
            <w:r>
              <w:rPr>
                <w:rFonts w:ascii="Arial" w:cs="Arial" w:eastAsia="Arial" w:hAnsi="Arial"/>
                <w:sz w:val="14"/>
                <w:szCs w:val="14"/>
                <w:b w:val="1"/>
                <w:bCs w:val="1"/>
                <w:color w:val="0033A0"/>
              </w:rPr>
              <w:t>Age   Since   Independent</w:t>
            </w:r>
          </w:p>
        </w:tc>
        <w:tc>
          <w:tcPr>
            <w:tcW w:w="2180" w:type="dxa"/>
            <w:vAlign w:val="bottom"/>
          </w:tcPr>
          <w:p>
            <w:pPr>
              <w:ind w:left="200"/>
              <w:spacing w:after="0"/>
              <w:rPr>
                <w:sz w:val="20"/>
                <w:szCs w:val="20"/>
                <w:color w:val="auto"/>
              </w:rPr>
            </w:pPr>
            <w:r>
              <w:rPr>
                <w:rFonts w:ascii="Arial" w:cs="Arial" w:eastAsia="Arial" w:hAnsi="Arial"/>
                <w:sz w:val="14"/>
                <w:szCs w:val="14"/>
                <w:b w:val="1"/>
                <w:bCs w:val="1"/>
                <w:color w:val="0033A0"/>
              </w:rPr>
              <w:t>Committee Memberships</w:t>
            </w:r>
          </w:p>
        </w:tc>
      </w:tr>
      <w:tr>
        <w:trPr>
          <w:trHeight w:val="38"/>
        </w:trPr>
        <w:tc>
          <w:tcPr>
            <w:tcW w:w="4320" w:type="dxa"/>
            <w:vAlign w:val="bottom"/>
            <w:tcBorders>
              <w:bottom w:val="single" w:sz="8" w:color="0033A0"/>
            </w:tcBorders>
          </w:tcPr>
          <w:p>
            <w:pPr>
              <w:spacing w:after="0"/>
              <w:rPr>
                <w:sz w:val="3"/>
                <w:szCs w:val="3"/>
                <w:color w:val="auto"/>
              </w:rPr>
            </w:pPr>
          </w:p>
        </w:tc>
        <w:tc>
          <w:tcPr>
            <w:tcW w:w="4420" w:type="dxa"/>
            <w:vAlign w:val="bottom"/>
            <w:tcBorders>
              <w:bottom w:val="single" w:sz="8" w:color="0033A0"/>
            </w:tcBorders>
          </w:tcPr>
          <w:p>
            <w:pPr>
              <w:spacing w:after="0"/>
              <w:rPr>
                <w:sz w:val="3"/>
                <w:szCs w:val="3"/>
                <w:color w:val="auto"/>
              </w:rPr>
            </w:pPr>
          </w:p>
        </w:tc>
        <w:tc>
          <w:tcPr>
            <w:tcW w:w="2180" w:type="dxa"/>
            <w:vAlign w:val="bottom"/>
            <w:tcBorders>
              <w:bottom w:val="single" w:sz="8" w:color="0033A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33655</wp:posOffset>
            </wp:positionV>
            <wp:extent cx="365125" cy="399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0033A0"/>
        </w:rPr>
        <w:t>Mary T. Barra</w:t>
      </w:r>
    </w:p>
    <w:p>
      <w:pPr>
        <w:spacing w:after="0" w:line="2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color w:val="auto"/>
              </w:rPr>
              <w:t>Chairman &amp; Chief Executive Officer,</w:t>
            </w:r>
          </w:p>
        </w:tc>
        <w:tc>
          <w:tcPr>
            <w:tcW w:w="198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1060" w:type="dxa"/>
            <w:vAlign w:val="bottom"/>
          </w:tcPr>
          <w:p>
            <w:pPr>
              <w:jc w:val="right"/>
              <w:ind w:right="529"/>
              <w:spacing w:after="0"/>
              <w:rPr>
                <w:sz w:val="20"/>
                <w:szCs w:val="20"/>
                <w:color w:val="auto"/>
              </w:rPr>
            </w:pPr>
            <w:r>
              <w:rPr>
                <w:rFonts w:ascii="Arial" w:cs="Arial" w:eastAsia="Arial" w:hAnsi="Arial"/>
                <w:sz w:val="14"/>
                <w:szCs w:val="14"/>
                <w:color w:val="auto"/>
              </w:rPr>
              <w:t>2014</w:t>
            </w:r>
          </w:p>
        </w:tc>
        <w:tc>
          <w:tcPr>
            <w:tcW w:w="1720" w:type="dxa"/>
            <w:vAlign w:val="bottom"/>
          </w:tcPr>
          <w:p>
            <w:pPr>
              <w:ind w:left="580"/>
              <w:spacing w:after="0"/>
              <w:rPr>
                <w:sz w:val="20"/>
                <w:szCs w:val="20"/>
                <w:color w:val="auto"/>
              </w:rPr>
            </w:pPr>
            <w:r>
              <w:rPr>
                <w:rFonts w:ascii="Arial" w:cs="Arial" w:eastAsia="Arial" w:hAnsi="Arial"/>
                <w:sz w:val="14"/>
                <w:szCs w:val="14"/>
                <w:color w:val="auto"/>
                <w:w w:val="99"/>
              </w:rPr>
              <w:t xml:space="preserve">Executive – </w:t>
            </w:r>
            <w:r>
              <w:rPr>
                <w:rFonts w:ascii="Arial" w:cs="Arial" w:eastAsia="Arial" w:hAnsi="Arial"/>
                <w:sz w:val="14"/>
                <w:szCs w:val="14"/>
                <w:b w:val="1"/>
                <w:bCs w:val="1"/>
                <w:color w:val="00A1DF"/>
                <w:w w:val="99"/>
              </w:rPr>
              <w:t>Chair</w:t>
            </w:r>
          </w:p>
        </w:tc>
      </w:tr>
      <w:tr>
        <w:trPr>
          <w:trHeight w:val="171"/>
        </w:trPr>
        <w:tc>
          <w:tcPr>
            <w:tcW w:w="3960" w:type="dxa"/>
            <w:vAlign w:val="bottom"/>
          </w:tcPr>
          <w:p>
            <w:pPr>
              <w:spacing w:after="0"/>
              <w:rPr>
                <w:sz w:val="20"/>
                <w:szCs w:val="20"/>
                <w:color w:val="auto"/>
              </w:rPr>
            </w:pPr>
            <w:r>
              <w:rPr>
                <w:rFonts w:ascii="Arial" w:cs="Arial" w:eastAsia="Arial" w:hAnsi="Arial"/>
                <w:sz w:val="14"/>
                <w:szCs w:val="14"/>
                <w:color w:val="auto"/>
              </w:rPr>
              <w:t>General Motors Company</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109220</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202565</wp:posOffset>
            </wp:positionV>
            <wp:extent cx="365125" cy="399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0033A0"/>
        </w:rPr>
        <w:t>Theodore M. Solso</w:t>
      </w:r>
    </w:p>
    <w:p>
      <w:pPr>
        <w:spacing w:after="0" w:line="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ind w:left="1060"/>
              <w:spacing w:after="0"/>
              <w:rPr>
                <w:sz w:val="20"/>
                <w:szCs w:val="20"/>
                <w:color w:val="auto"/>
              </w:rPr>
            </w:pPr>
            <w:r>
              <w:rPr>
                <w:rFonts w:ascii="Arial" w:cs="Arial" w:eastAsia="Arial" w:hAnsi="Arial"/>
                <w:sz w:val="14"/>
                <w:szCs w:val="14"/>
                <w:color w:val="auto"/>
              </w:rPr>
              <w:t>Independent Lead Director, General Motors Company,</w:t>
            </w: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73</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2012</w:t>
            </w:r>
          </w:p>
        </w:tc>
        <w:tc>
          <w:tcPr>
            <w:tcW w:w="2860" w:type="dxa"/>
            <w:vAlign w:val="bottom"/>
          </w:tcPr>
          <w:p>
            <w:pPr>
              <w:ind w:left="58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91"/>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and Retired Chairman &amp; Chief Executive Officer,</w:t>
            </w:r>
          </w:p>
        </w:tc>
        <w:tc>
          <w:tcPr>
            <w:tcW w:w="14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Governance</w:t>
            </w:r>
          </w:p>
        </w:tc>
        <w:tc>
          <w:tcPr>
            <w:tcW w:w="0" w:type="dxa"/>
            <w:vAlign w:val="bottom"/>
          </w:tcPr>
          <w:p>
            <w:pPr>
              <w:spacing w:after="0"/>
              <w:rPr>
                <w:sz w:val="1"/>
                <w:szCs w:val="1"/>
                <w:color w:val="auto"/>
              </w:rPr>
            </w:pPr>
          </w:p>
        </w:tc>
      </w:tr>
      <w:tr>
        <w:trPr>
          <w:trHeight w:val="83"/>
        </w:trPr>
        <w:tc>
          <w:tcPr>
            <w:tcW w:w="56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5600" w:type="dxa"/>
            <w:vAlign w:val="bottom"/>
          </w:tcPr>
          <w:p>
            <w:pPr>
              <w:ind w:left="1060"/>
              <w:spacing w:after="0"/>
              <w:rPr>
                <w:sz w:val="20"/>
                <w:szCs w:val="20"/>
                <w:color w:val="auto"/>
              </w:rPr>
            </w:pPr>
            <w:r>
              <w:rPr>
                <w:rFonts w:ascii="Arial" w:cs="Arial" w:eastAsia="Arial" w:hAnsi="Arial"/>
                <w:sz w:val="14"/>
                <w:szCs w:val="14"/>
                <w:color w:val="auto"/>
              </w:rPr>
              <w:t>Cummins, Inc.</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6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-372745</wp:posOffset>
            </wp:positionV>
            <wp:extent cx="135890" cy="135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85090</wp:posOffset>
            </wp:positionV>
            <wp:extent cx="365125" cy="399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5125" cy="399415"/>
                    </a:xfrm>
                    <a:prstGeom prst="rect">
                      <a:avLst/>
                    </a:prstGeom>
                    <a:noFill/>
                  </pic:spPr>
                </pic:pic>
              </a:graphicData>
            </a:graphic>
          </wp:anchor>
        </w:drawing>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Wesley G. Bush</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60"/>
        </w:trPr>
        <w:tc>
          <w:tcPr>
            <w:tcW w:w="5600" w:type="dxa"/>
            <w:vAlign w:val="bottom"/>
          </w:tcPr>
          <w:p>
            <w:pPr>
              <w:ind w:left="1060"/>
              <w:spacing w:after="0"/>
              <w:rPr>
                <w:sz w:val="20"/>
                <w:szCs w:val="20"/>
                <w:color w:val="auto"/>
              </w:rPr>
            </w:pPr>
            <w:r>
              <w:rPr>
                <w:rFonts w:ascii="Arial" w:cs="Arial" w:eastAsia="Arial" w:hAnsi="Arial"/>
                <w:sz w:val="14"/>
                <w:szCs w:val="14"/>
                <w:color w:val="auto"/>
              </w:rPr>
              <w:t>Retired Chairman &amp; Chief Executive Officer,</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1060" w:type="dxa"/>
            <w:vAlign w:val="bottom"/>
          </w:tcPr>
          <w:p>
            <w:pPr>
              <w:jc w:val="right"/>
              <w:ind w:right="529"/>
              <w:spacing w:after="0"/>
              <w:rPr>
                <w:sz w:val="20"/>
                <w:szCs w:val="20"/>
                <w:color w:val="auto"/>
              </w:rPr>
            </w:pPr>
            <w:r>
              <w:rPr>
                <w:rFonts w:ascii="Arial" w:cs="Arial" w:eastAsia="Arial" w:hAnsi="Arial"/>
                <w:sz w:val="14"/>
                <w:szCs w:val="14"/>
                <w:color w:val="auto"/>
              </w:rPr>
              <w:t>2019</w:t>
            </w:r>
          </w:p>
        </w:tc>
        <w:tc>
          <w:tcPr>
            <w:tcW w:w="2860" w:type="dxa"/>
            <w:vAlign w:val="bottom"/>
          </w:tcPr>
          <w:p>
            <w:pPr>
              <w:ind w:left="58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184"/>
        </w:trPr>
        <w:tc>
          <w:tcPr>
            <w:tcW w:w="5600" w:type="dxa"/>
            <w:vAlign w:val="bottom"/>
          </w:tcPr>
          <w:p>
            <w:pPr>
              <w:ind w:left="1060"/>
              <w:spacing w:after="0"/>
              <w:rPr>
                <w:sz w:val="20"/>
                <w:szCs w:val="20"/>
                <w:color w:val="auto"/>
              </w:rPr>
            </w:pPr>
            <w:r>
              <w:rPr>
                <w:rFonts w:ascii="Arial" w:cs="Arial" w:eastAsia="Arial" w:hAnsi="Arial"/>
                <w:sz w:val="14"/>
                <w:szCs w:val="14"/>
                <w:color w:val="auto"/>
              </w:rPr>
              <w:t>Northrop Grumman Corporation</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Linda R. Gooden</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42"/>
        </w:trPr>
        <w:tc>
          <w:tcPr>
            <w:tcW w:w="5600" w:type="dxa"/>
            <w:vAlign w:val="bottom"/>
          </w:tcPr>
          <w:p>
            <w:pPr>
              <w:ind w:left="1060"/>
              <w:spacing w:after="0" w:line="143" w:lineRule="exact"/>
              <w:rPr>
                <w:sz w:val="20"/>
                <w:szCs w:val="20"/>
                <w:color w:val="auto"/>
              </w:rPr>
            </w:pPr>
            <w:r>
              <w:rPr>
                <w:rFonts w:ascii="Arial" w:cs="Arial" w:eastAsia="Arial" w:hAnsi="Arial"/>
                <w:sz w:val="14"/>
                <w:szCs w:val="14"/>
                <w:color w:val="auto"/>
              </w:rPr>
              <w:t>Retired Executive Vice President, Information Systems</w:t>
            </w:r>
          </w:p>
        </w:tc>
        <w:tc>
          <w:tcPr>
            <w:tcW w:w="1400" w:type="dxa"/>
            <w:vAlign w:val="bottom"/>
          </w:tcPr>
          <w:p>
            <w:pPr>
              <w:jc w:val="right"/>
              <w:ind w:right="69"/>
              <w:spacing w:after="0" w:line="143" w:lineRule="exact"/>
              <w:rPr>
                <w:sz w:val="20"/>
                <w:szCs w:val="20"/>
                <w:color w:val="auto"/>
              </w:rPr>
            </w:pPr>
            <w:r>
              <w:rPr>
                <w:rFonts w:ascii="Arial" w:cs="Arial" w:eastAsia="Arial" w:hAnsi="Arial"/>
                <w:sz w:val="14"/>
                <w:szCs w:val="14"/>
                <w:color w:val="auto"/>
              </w:rPr>
              <w:t>67</w:t>
            </w:r>
          </w:p>
        </w:tc>
        <w:tc>
          <w:tcPr>
            <w:tcW w:w="1060" w:type="dxa"/>
            <w:vAlign w:val="bottom"/>
          </w:tcPr>
          <w:p>
            <w:pPr>
              <w:jc w:val="right"/>
              <w:ind w:right="529"/>
              <w:spacing w:after="0" w:line="143" w:lineRule="exact"/>
              <w:rPr>
                <w:sz w:val="20"/>
                <w:szCs w:val="20"/>
                <w:color w:val="auto"/>
              </w:rPr>
            </w:pPr>
            <w:r>
              <w:rPr>
                <w:rFonts w:ascii="Arial" w:cs="Arial" w:eastAsia="Arial" w:hAnsi="Arial"/>
                <w:sz w:val="14"/>
                <w:szCs w:val="14"/>
                <w:color w:val="auto"/>
              </w:rPr>
              <w:t>2015</w:t>
            </w:r>
          </w:p>
        </w:tc>
        <w:tc>
          <w:tcPr>
            <w:tcW w:w="2860" w:type="dxa"/>
            <w:vAlign w:val="bottom"/>
          </w:tcPr>
          <w:p>
            <w:pPr>
              <w:ind w:left="580"/>
              <w:spacing w:after="0" w:line="143" w:lineRule="exact"/>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202"/>
        </w:trPr>
        <w:tc>
          <w:tcPr>
            <w:tcW w:w="5600" w:type="dxa"/>
            <w:vAlign w:val="bottom"/>
          </w:tcPr>
          <w:p>
            <w:pPr>
              <w:ind w:left="1060"/>
              <w:spacing w:after="0"/>
              <w:rPr>
                <w:sz w:val="20"/>
                <w:szCs w:val="20"/>
                <w:color w:val="auto"/>
              </w:rPr>
            </w:pPr>
            <w:r>
              <w:rPr>
                <w:rFonts w:ascii="Arial" w:cs="Arial" w:eastAsia="Arial" w:hAnsi="Arial"/>
                <w:sz w:val="14"/>
                <w:szCs w:val="14"/>
                <w:color w:val="auto"/>
              </w:rPr>
              <w:t>&amp; Global Solutions, Lockheed Martin Corporation</w:t>
            </w: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 xml:space="preserve">Risk and Cybersecurity – </w:t>
            </w:r>
            <w:r>
              <w:rPr>
                <w:rFonts w:ascii="Arial" w:cs="Arial" w:eastAsia="Arial" w:hAnsi="Arial"/>
                <w:sz w:val="14"/>
                <w:szCs w:val="14"/>
                <w:b w:val="1"/>
                <w:bCs w:val="1"/>
                <w:color w:val="00A1DF"/>
              </w:rPr>
              <w:t>Chair</w:t>
            </w: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600" w:type="dxa"/>
            <w:vAlign w:val="bottom"/>
            <w:vMerge w:val="restart"/>
          </w:tcPr>
          <w:p>
            <w:pPr>
              <w:ind w:left="1060"/>
              <w:spacing w:after="0"/>
              <w:rPr>
                <w:sz w:val="20"/>
                <w:szCs w:val="20"/>
                <w:color w:val="auto"/>
              </w:rPr>
            </w:pPr>
            <w:r>
              <w:rPr>
                <w:rFonts w:ascii="Arial" w:cs="Arial" w:eastAsia="Arial" w:hAnsi="Arial"/>
                <w:sz w:val="16"/>
                <w:szCs w:val="16"/>
                <w:b w:val="1"/>
                <w:bCs w:val="1"/>
                <w:color w:val="0033A0"/>
              </w:rPr>
              <w:t>Joseph Jimenez</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60</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2015</w:t>
            </w:r>
          </w:p>
        </w:tc>
        <w:tc>
          <w:tcPr>
            <w:tcW w:w="2860" w:type="dxa"/>
            <w:vAlign w:val="bottom"/>
            <w:vMerge w:val="restart"/>
          </w:tcPr>
          <w:p>
            <w:pPr>
              <w:ind w:left="580"/>
              <w:spacing w:after="0" w:line="143" w:lineRule="exact"/>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49"/>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Retired Chief Executive Officer,</w:t>
            </w:r>
          </w:p>
        </w:tc>
        <w:tc>
          <w:tcPr>
            <w:tcW w:w="140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560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 xml:space="preserve">Finance – </w:t>
            </w:r>
            <w:r>
              <w:rPr>
                <w:rFonts w:ascii="Arial" w:cs="Arial" w:eastAsia="Arial" w:hAnsi="Arial"/>
                <w:sz w:val="14"/>
                <w:szCs w:val="14"/>
                <w:b w:val="1"/>
                <w:bCs w:val="1"/>
                <w:color w:val="00A1DF"/>
              </w:rPr>
              <w:t>Chair</w:t>
            </w:r>
          </w:p>
        </w:tc>
        <w:tc>
          <w:tcPr>
            <w:tcW w:w="0" w:type="dxa"/>
            <w:vAlign w:val="bottom"/>
          </w:tcPr>
          <w:p>
            <w:pPr>
              <w:spacing w:after="0"/>
              <w:rPr>
                <w:sz w:val="1"/>
                <w:szCs w:val="1"/>
                <w:color w:val="auto"/>
              </w:rPr>
            </w:pPr>
          </w:p>
        </w:tc>
      </w:tr>
      <w:tr>
        <w:trPr>
          <w:trHeight w:val="6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Novartis AG</w:t>
            </w: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6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Risk and Cybersecurity</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5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3"/>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Jane L. Mendillo</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60"/>
        </w:trPr>
        <w:tc>
          <w:tcPr>
            <w:tcW w:w="5600" w:type="dxa"/>
            <w:vAlign w:val="bottom"/>
          </w:tcPr>
          <w:p>
            <w:pPr>
              <w:ind w:left="1060"/>
              <w:spacing w:after="0"/>
              <w:rPr>
                <w:sz w:val="20"/>
                <w:szCs w:val="20"/>
                <w:color w:val="auto"/>
              </w:rPr>
            </w:pPr>
            <w:r>
              <w:rPr>
                <w:rFonts w:ascii="Arial" w:cs="Arial" w:eastAsia="Arial" w:hAnsi="Arial"/>
                <w:sz w:val="14"/>
                <w:szCs w:val="14"/>
                <w:color w:val="auto"/>
              </w:rPr>
              <w:t>Retired President &amp; Chief Executive Officer,</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61</w:t>
            </w:r>
          </w:p>
        </w:tc>
        <w:tc>
          <w:tcPr>
            <w:tcW w:w="1060" w:type="dxa"/>
            <w:vAlign w:val="bottom"/>
          </w:tcPr>
          <w:p>
            <w:pPr>
              <w:jc w:val="right"/>
              <w:ind w:right="529"/>
              <w:spacing w:after="0"/>
              <w:rPr>
                <w:sz w:val="20"/>
                <w:szCs w:val="20"/>
                <w:color w:val="auto"/>
              </w:rPr>
            </w:pPr>
            <w:r>
              <w:rPr>
                <w:rFonts w:ascii="Arial" w:cs="Arial" w:eastAsia="Arial" w:hAnsi="Arial"/>
                <w:sz w:val="14"/>
                <w:szCs w:val="14"/>
                <w:color w:val="auto"/>
              </w:rPr>
              <w:t>2016</w:t>
            </w:r>
          </w:p>
        </w:tc>
        <w:tc>
          <w:tcPr>
            <w:tcW w:w="2860" w:type="dxa"/>
            <w:vAlign w:val="bottom"/>
          </w:tcPr>
          <w:p>
            <w:pPr>
              <w:ind w:left="580"/>
              <w:spacing w:after="0"/>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84"/>
        </w:trPr>
        <w:tc>
          <w:tcPr>
            <w:tcW w:w="5600" w:type="dxa"/>
            <w:vAlign w:val="bottom"/>
          </w:tcPr>
          <w:p>
            <w:pPr>
              <w:ind w:left="1060"/>
              <w:spacing w:after="0"/>
              <w:rPr>
                <w:sz w:val="20"/>
                <w:szCs w:val="20"/>
                <w:color w:val="auto"/>
              </w:rPr>
            </w:pPr>
            <w:r>
              <w:rPr>
                <w:rFonts w:ascii="Arial" w:cs="Arial" w:eastAsia="Arial" w:hAnsi="Arial"/>
                <w:sz w:val="14"/>
                <w:szCs w:val="14"/>
                <w:color w:val="auto"/>
              </w:rPr>
              <w:t>Harvard Management Company</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Governance</w:t>
            </w: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Judith A. Miscik</w:t>
            </w: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61</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2018</w:t>
            </w: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6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Chief Executive Officer &amp; Vice Chairman,</w:t>
            </w: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Risk and Cybersecurity</w:t>
            </w:r>
          </w:p>
        </w:tc>
        <w:tc>
          <w:tcPr>
            <w:tcW w:w="0" w:type="dxa"/>
            <w:vAlign w:val="bottom"/>
          </w:tcPr>
          <w:p>
            <w:pPr>
              <w:spacing w:after="0"/>
              <w:rPr>
                <w:sz w:val="1"/>
                <w:szCs w:val="1"/>
                <w:color w:val="auto"/>
              </w:rPr>
            </w:pPr>
          </w:p>
        </w:tc>
      </w:tr>
      <w:tr>
        <w:trPr>
          <w:trHeight w:val="7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Kissinger Associates, Inc.</w:t>
            </w:r>
          </w:p>
        </w:tc>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5600" w:type="dxa"/>
            <w:vAlign w:val="bottom"/>
            <w:vMerge w:val="restart"/>
          </w:tcPr>
          <w:p>
            <w:pPr>
              <w:ind w:left="1060"/>
              <w:spacing w:after="0"/>
              <w:rPr>
                <w:sz w:val="20"/>
                <w:szCs w:val="20"/>
                <w:color w:val="auto"/>
              </w:rPr>
            </w:pPr>
            <w:r>
              <w:rPr>
                <w:rFonts w:ascii="Arial" w:cs="Arial" w:eastAsia="Arial" w:hAnsi="Arial"/>
                <w:sz w:val="16"/>
                <w:szCs w:val="16"/>
                <w:b w:val="1"/>
                <w:bCs w:val="1"/>
                <w:color w:val="0033A0"/>
              </w:rPr>
              <w:t>Patricia F. Russo</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67</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2009</w:t>
            </w: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6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Chairman, Hewlett Packard</w:t>
            </w: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860" w:type="dxa"/>
            <w:vAlign w:val="bottom"/>
            <w:vMerge w:val="restart"/>
          </w:tcPr>
          <w:p>
            <w:pPr>
              <w:ind w:left="580"/>
              <w:spacing w:after="0" w:line="143"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49"/>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Enterprise Company</w:t>
            </w:r>
          </w:p>
        </w:tc>
        <w:tc>
          <w:tcPr>
            <w:tcW w:w="1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6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 xml:space="preserve">Governance – </w:t>
            </w:r>
            <w:r>
              <w:rPr>
                <w:rFonts w:ascii="Arial" w:cs="Arial" w:eastAsia="Arial" w:hAnsi="Arial"/>
                <w:sz w:val="14"/>
                <w:szCs w:val="14"/>
                <w:b w:val="1"/>
                <w:bCs w:val="1"/>
                <w:color w:val="00A1DF"/>
              </w:rPr>
              <w:t>Chair</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5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5600" w:type="dxa"/>
            <w:vAlign w:val="bottom"/>
            <w:vMerge w:val="restart"/>
          </w:tcPr>
          <w:p>
            <w:pPr>
              <w:ind w:left="1060"/>
              <w:spacing w:after="0"/>
              <w:rPr>
                <w:sz w:val="20"/>
                <w:szCs w:val="20"/>
                <w:color w:val="auto"/>
              </w:rPr>
            </w:pPr>
            <w:r>
              <w:rPr>
                <w:rFonts w:ascii="Arial" w:cs="Arial" w:eastAsia="Arial" w:hAnsi="Arial"/>
                <w:sz w:val="16"/>
                <w:szCs w:val="16"/>
                <w:b w:val="1"/>
                <w:bCs w:val="1"/>
                <w:color w:val="0033A0"/>
              </w:rPr>
              <w:t>Thomas M. Schoewe</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 xml:space="preserve">Audit – </w:t>
            </w:r>
            <w:r>
              <w:rPr>
                <w:rFonts w:ascii="Arial" w:cs="Arial" w:eastAsia="Arial" w:hAnsi="Arial"/>
                <w:sz w:val="14"/>
                <w:szCs w:val="14"/>
                <w:b w:val="1"/>
                <w:bCs w:val="1"/>
                <w:color w:val="00A1DF"/>
              </w:rPr>
              <w:t>Chair</w:t>
            </w: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67</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2011</w:t>
            </w: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6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Retired Executive Vice President &amp;</w:t>
            </w:r>
          </w:p>
        </w:tc>
        <w:tc>
          <w:tcPr>
            <w:tcW w:w="14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6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67"/>
        </w:trPr>
        <w:tc>
          <w:tcPr>
            <w:tcW w:w="5600" w:type="dxa"/>
            <w:vAlign w:val="bottom"/>
            <w:vMerge w:val="restart"/>
          </w:tcPr>
          <w:p>
            <w:pPr>
              <w:ind w:left="1060"/>
              <w:spacing w:after="0"/>
              <w:rPr>
                <w:sz w:val="20"/>
                <w:szCs w:val="20"/>
                <w:color w:val="auto"/>
              </w:rPr>
            </w:pPr>
            <w:r>
              <w:rPr>
                <w:rFonts w:ascii="Arial" w:cs="Arial" w:eastAsia="Arial" w:hAnsi="Arial"/>
                <w:sz w:val="14"/>
                <w:szCs w:val="14"/>
                <w:color w:val="auto"/>
              </w:rPr>
              <w:t>Chief Financial Officer, Wal-Mart Stores, Inc.</w:t>
            </w: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6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Risk and Cybersecurity</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5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5"/>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Carol M. Stephenson</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Executive</w:t>
            </w:r>
          </w:p>
        </w:tc>
        <w:tc>
          <w:tcPr>
            <w:tcW w:w="0" w:type="dxa"/>
            <w:vAlign w:val="bottom"/>
          </w:tcPr>
          <w:p>
            <w:pPr>
              <w:spacing w:after="0"/>
              <w:rPr>
                <w:sz w:val="1"/>
                <w:szCs w:val="1"/>
                <w:color w:val="auto"/>
              </w:rPr>
            </w:pPr>
          </w:p>
        </w:tc>
      </w:tr>
      <w:tr>
        <w:trPr>
          <w:trHeight w:val="178"/>
        </w:trPr>
        <w:tc>
          <w:tcPr>
            <w:tcW w:w="5600" w:type="dxa"/>
            <w:vAlign w:val="bottom"/>
          </w:tcPr>
          <w:p>
            <w:pPr>
              <w:ind w:left="1060"/>
              <w:spacing w:after="0"/>
              <w:rPr>
                <w:sz w:val="20"/>
                <w:szCs w:val="20"/>
                <w:color w:val="auto"/>
              </w:rPr>
            </w:pPr>
            <w:r>
              <w:rPr>
                <w:rFonts w:ascii="Arial" w:cs="Arial" w:eastAsia="Arial" w:hAnsi="Arial"/>
                <w:sz w:val="14"/>
                <w:szCs w:val="14"/>
                <w:color w:val="auto"/>
              </w:rPr>
              <w:t>Retired Dean, Ivey Business School,</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69</w:t>
            </w:r>
          </w:p>
        </w:tc>
        <w:tc>
          <w:tcPr>
            <w:tcW w:w="1060" w:type="dxa"/>
            <w:vAlign w:val="bottom"/>
          </w:tcPr>
          <w:p>
            <w:pPr>
              <w:jc w:val="right"/>
              <w:ind w:right="529"/>
              <w:spacing w:after="0"/>
              <w:rPr>
                <w:sz w:val="20"/>
                <w:szCs w:val="20"/>
                <w:color w:val="auto"/>
              </w:rPr>
            </w:pPr>
            <w:r>
              <w:rPr>
                <w:rFonts w:ascii="Arial" w:cs="Arial" w:eastAsia="Arial" w:hAnsi="Arial"/>
                <w:sz w:val="14"/>
                <w:szCs w:val="14"/>
                <w:color w:val="auto"/>
              </w:rPr>
              <w:t>2009</w:t>
            </w:r>
          </w:p>
        </w:tc>
        <w:tc>
          <w:tcPr>
            <w:tcW w:w="2860" w:type="dxa"/>
            <w:vAlign w:val="bottom"/>
          </w:tcPr>
          <w:p>
            <w:pPr>
              <w:ind w:left="580"/>
              <w:spacing w:after="0"/>
              <w:rPr>
                <w:sz w:val="20"/>
                <w:szCs w:val="20"/>
                <w:color w:val="auto"/>
              </w:rPr>
            </w:pPr>
            <w:r>
              <w:rPr>
                <w:rFonts w:ascii="Arial" w:cs="Arial" w:eastAsia="Arial" w:hAnsi="Arial"/>
                <w:sz w:val="14"/>
                <w:szCs w:val="14"/>
                <w:color w:val="auto"/>
              </w:rPr>
              <w:t xml:space="preserve">Executive Compensation – </w:t>
            </w:r>
            <w:r>
              <w:rPr>
                <w:rFonts w:ascii="Arial" w:cs="Arial" w:eastAsia="Arial" w:hAnsi="Arial"/>
                <w:sz w:val="14"/>
                <w:szCs w:val="14"/>
                <w:b w:val="1"/>
                <w:bCs w:val="1"/>
                <w:color w:val="00A1DF"/>
              </w:rPr>
              <w:t>Chair</w:t>
            </w:r>
          </w:p>
        </w:tc>
        <w:tc>
          <w:tcPr>
            <w:tcW w:w="0" w:type="dxa"/>
            <w:vAlign w:val="bottom"/>
          </w:tcPr>
          <w:p>
            <w:pPr>
              <w:spacing w:after="0"/>
              <w:rPr>
                <w:sz w:val="1"/>
                <w:szCs w:val="1"/>
                <w:color w:val="auto"/>
              </w:rPr>
            </w:pPr>
          </w:p>
        </w:tc>
      </w:tr>
      <w:tr>
        <w:trPr>
          <w:trHeight w:val="184"/>
        </w:trPr>
        <w:tc>
          <w:tcPr>
            <w:tcW w:w="5600" w:type="dxa"/>
            <w:vAlign w:val="bottom"/>
          </w:tcPr>
          <w:p>
            <w:pPr>
              <w:ind w:left="1060"/>
              <w:spacing w:after="0"/>
              <w:rPr>
                <w:sz w:val="20"/>
                <w:szCs w:val="20"/>
                <w:color w:val="auto"/>
              </w:rPr>
            </w:pPr>
            <w:r>
              <w:rPr>
                <w:rFonts w:ascii="Arial" w:cs="Arial" w:eastAsia="Arial" w:hAnsi="Arial"/>
                <w:sz w:val="14"/>
                <w:szCs w:val="14"/>
                <w:color w:val="auto"/>
              </w:rPr>
              <w:t>The University of Western Ontario</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tcPr>
          <w:p>
            <w:pPr>
              <w:ind w:left="580"/>
              <w:spacing w:after="0"/>
              <w:rPr>
                <w:sz w:val="20"/>
                <w:szCs w:val="20"/>
                <w:color w:val="auto"/>
              </w:rPr>
            </w:pPr>
            <w:r>
              <w:rPr>
                <w:rFonts w:ascii="Arial" w:cs="Arial" w:eastAsia="Arial" w:hAnsi="Arial"/>
                <w:sz w:val="14"/>
                <w:szCs w:val="14"/>
                <w:color w:val="auto"/>
              </w:rPr>
              <w:t>Governance</w:t>
            </w: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600" w:type="dxa"/>
            <w:vAlign w:val="bottom"/>
          </w:tcPr>
          <w:p>
            <w:pPr>
              <w:ind w:left="1060"/>
              <w:spacing w:after="0"/>
              <w:rPr>
                <w:sz w:val="20"/>
                <w:szCs w:val="20"/>
                <w:color w:val="auto"/>
              </w:rPr>
            </w:pPr>
            <w:r>
              <w:rPr>
                <w:rFonts w:ascii="Arial" w:cs="Arial" w:eastAsia="Arial" w:hAnsi="Arial"/>
                <w:sz w:val="16"/>
                <w:szCs w:val="16"/>
                <w:b w:val="1"/>
                <w:bCs w:val="1"/>
                <w:color w:val="0033A0"/>
              </w:rPr>
              <w:t>Devin N. Wenig</w:t>
            </w:r>
          </w:p>
        </w:tc>
        <w:tc>
          <w:tcPr>
            <w:tcW w:w="1400" w:type="dxa"/>
            <w:vAlign w:val="bottom"/>
            <w:vMerge w:val="restart"/>
          </w:tcPr>
          <w:p>
            <w:pPr>
              <w:jc w:val="right"/>
              <w:ind w:right="69"/>
              <w:spacing w:after="0"/>
              <w:rPr>
                <w:sz w:val="20"/>
                <w:szCs w:val="20"/>
                <w:color w:val="auto"/>
              </w:rPr>
            </w:pPr>
            <w:r>
              <w:rPr>
                <w:rFonts w:ascii="Arial" w:cs="Arial" w:eastAsia="Arial" w:hAnsi="Arial"/>
                <w:sz w:val="14"/>
                <w:szCs w:val="14"/>
                <w:color w:val="auto"/>
              </w:rPr>
              <w:t>53</w:t>
            </w:r>
          </w:p>
        </w:tc>
        <w:tc>
          <w:tcPr>
            <w:tcW w:w="1060" w:type="dxa"/>
            <w:vAlign w:val="bottom"/>
            <w:vMerge w:val="restart"/>
          </w:tcPr>
          <w:p>
            <w:pPr>
              <w:jc w:val="right"/>
              <w:ind w:right="529"/>
              <w:spacing w:after="0"/>
              <w:rPr>
                <w:sz w:val="20"/>
                <w:szCs w:val="20"/>
                <w:color w:val="auto"/>
              </w:rPr>
            </w:pPr>
            <w:r>
              <w:rPr>
                <w:rFonts w:ascii="Arial" w:cs="Arial" w:eastAsia="Arial" w:hAnsi="Arial"/>
                <w:sz w:val="14"/>
                <w:szCs w:val="14"/>
                <w:color w:val="auto"/>
              </w:rPr>
              <w:t>2018</w:t>
            </w:r>
          </w:p>
        </w:tc>
        <w:tc>
          <w:tcPr>
            <w:tcW w:w="2860" w:type="dxa"/>
            <w:vAlign w:val="bottom"/>
            <w:vMerge w:val="restart"/>
          </w:tcPr>
          <w:p>
            <w:pPr>
              <w:ind w:left="580"/>
              <w:spacing w:after="0"/>
              <w:rPr>
                <w:sz w:val="20"/>
                <w:szCs w:val="20"/>
                <w:color w:val="auto"/>
              </w:rPr>
            </w:pPr>
            <w:r>
              <w:rPr>
                <w:rFonts w:ascii="Arial" w:cs="Arial" w:eastAsia="Arial" w:hAnsi="Arial"/>
                <w:sz w:val="14"/>
                <w:szCs w:val="14"/>
                <w:color w:val="auto"/>
              </w:rPr>
              <w:t>Risk and Cybersecurity</w:t>
            </w:r>
          </w:p>
        </w:tc>
        <w:tc>
          <w:tcPr>
            <w:tcW w:w="0" w:type="dxa"/>
            <w:vAlign w:val="bottom"/>
          </w:tcPr>
          <w:p>
            <w:pPr>
              <w:spacing w:after="0"/>
              <w:rPr>
                <w:sz w:val="1"/>
                <w:szCs w:val="1"/>
                <w:color w:val="auto"/>
              </w:rPr>
            </w:pPr>
          </w:p>
        </w:tc>
      </w:tr>
      <w:tr>
        <w:trPr>
          <w:trHeight w:val="160"/>
        </w:trPr>
        <w:tc>
          <w:tcPr>
            <w:tcW w:w="5600" w:type="dxa"/>
            <w:vAlign w:val="bottom"/>
          </w:tcPr>
          <w:p>
            <w:pPr>
              <w:ind w:left="1060"/>
              <w:spacing w:after="0"/>
              <w:rPr>
                <w:sz w:val="20"/>
                <w:szCs w:val="20"/>
                <w:color w:val="auto"/>
              </w:rPr>
            </w:pPr>
            <w:r>
              <w:rPr>
                <w:rFonts w:ascii="Arial" w:cs="Arial" w:eastAsia="Arial" w:hAnsi="Arial"/>
                <w:sz w:val="14"/>
                <w:szCs w:val="14"/>
                <w:color w:val="auto"/>
              </w:rPr>
              <w:t>Retired President &amp; Chief Executive Officer,</w:t>
            </w:r>
          </w:p>
        </w:tc>
        <w:tc>
          <w:tcPr>
            <w:tcW w:w="1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00" w:type="dxa"/>
            <w:vAlign w:val="bottom"/>
          </w:tcPr>
          <w:p>
            <w:pPr>
              <w:ind w:left="1060"/>
              <w:spacing w:after="0"/>
              <w:rPr>
                <w:sz w:val="20"/>
                <w:szCs w:val="20"/>
                <w:color w:val="auto"/>
              </w:rPr>
            </w:pPr>
            <w:r>
              <w:rPr>
                <w:rFonts w:ascii="Arial" w:cs="Arial" w:eastAsia="Arial" w:hAnsi="Arial"/>
                <w:sz w:val="14"/>
                <w:szCs w:val="14"/>
                <w:color w:val="auto"/>
              </w:rPr>
              <w:t>eBay Inc.</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-5366385</wp:posOffset>
            </wp:positionV>
            <wp:extent cx="135890" cy="13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-4907915</wp:posOffset>
            </wp:positionV>
            <wp:extent cx="365125" cy="399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-4746625</wp:posOffset>
            </wp:positionV>
            <wp:extent cx="135890" cy="135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-4109720</wp:posOffset>
            </wp:positionV>
            <wp:extent cx="135890" cy="135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-3634105</wp:posOffset>
            </wp:positionV>
            <wp:extent cx="365125" cy="399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-3472815</wp:posOffset>
            </wp:positionV>
            <wp:extent cx="135890" cy="135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-3014345</wp:posOffset>
            </wp:positionV>
            <wp:extent cx="365125" cy="399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-2853055</wp:posOffset>
            </wp:positionV>
            <wp:extent cx="135890" cy="135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-2393950</wp:posOffset>
            </wp:positionV>
            <wp:extent cx="365125" cy="399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-2232660</wp:posOffset>
            </wp:positionV>
            <wp:extent cx="135890" cy="135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-1774190</wp:posOffset>
            </wp:positionV>
            <wp:extent cx="365125" cy="399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-1612900</wp:posOffset>
            </wp:positionV>
            <wp:extent cx="13589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-1154430</wp:posOffset>
            </wp:positionV>
            <wp:extent cx="365125" cy="399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-993140</wp:posOffset>
            </wp:positionV>
            <wp:extent cx="135890" cy="135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-534670</wp:posOffset>
            </wp:positionV>
            <wp:extent cx="365125" cy="399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5125" cy="39941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-372745</wp:posOffset>
            </wp:positionV>
            <wp:extent cx="135890"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153035</wp:posOffset>
            </wp:positionV>
            <wp:extent cx="6793865" cy="1095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3865" cy="1095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2</w:t>
      </w:r>
    </w:p>
    <w:p>
      <w:pPr>
        <w:sectPr>
          <w:pgSz w:w="11900" w:h="16838" w:orient="portrait"/>
          <w:cols w:equalWidth="0" w:num="1">
            <w:col w:w="11080"/>
          </w:cols>
          <w:pgMar w:left="320" w:top="456" w:right="499" w:bottom="1016"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Diversity of Skills, Qualifications, and Experience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Your Board nominees offer a diverse range of skills and experience in relevant areas.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300" w:type="dxa"/>
            <w:vAlign w:val="bottom"/>
            <w:shd w:val="clear" w:color="auto" w:fill="E5F5FB"/>
          </w:tcPr>
          <w:p>
            <w:pPr>
              <w:ind w:left="460"/>
              <w:spacing w:after="0"/>
              <w:rPr>
                <w:sz w:val="20"/>
                <w:szCs w:val="20"/>
                <w:color w:val="auto"/>
              </w:rPr>
            </w:pPr>
            <w:r>
              <w:rPr>
                <w:rFonts w:ascii="Arial" w:cs="Arial" w:eastAsia="Arial" w:hAnsi="Arial"/>
                <w:sz w:val="12"/>
                <w:szCs w:val="12"/>
                <w:b w:val="1"/>
                <w:bCs w:val="1"/>
                <w:color w:val="auto"/>
              </w:rPr>
              <w:t>SKILL/</w:t>
            </w:r>
          </w:p>
        </w:tc>
        <w:tc>
          <w:tcPr>
            <w:tcW w:w="90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rPr>
              <w:t>M.</w:t>
            </w:r>
          </w:p>
        </w:tc>
        <w:tc>
          <w:tcPr>
            <w:tcW w:w="88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3"/>
              </w:rPr>
              <w:t>T.</w:t>
            </w:r>
          </w:p>
        </w:tc>
        <w:tc>
          <w:tcPr>
            <w:tcW w:w="78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5"/>
              </w:rPr>
              <w:t>W.</w:t>
            </w:r>
          </w:p>
        </w:tc>
        <w:tc>
          <w:tcPr>
            <w:tcW w:w="92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3"/>
              </w:rPr>
              <w:t>L.</w:t>
            </w:r>
          </w:p>
        </w:tc>
        <w:tc>
          <w:tcPr>
            <w:tcW w:w="84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J.</w:t>
            </w:r>
          </w:p>
        </w:tc>
        <w:tc>
          <w:tcPr>
            <w:tcW w:w="96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J.</w:t>
            </w:r>
          </w:p>
        </w:tc>
        <w:tc>
          <w:tcPr>
            <w:tcW w:w="80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J.</w:t>
            </w:r>
          </w:p>
        </w:tc>
        <w:tc>
          <w:tcPr>
            <w:tcW w:w="820" w:type="dxa"/>
            <w:vAlign w:val="bottom"/>
            <w:shd w:val="clear" w:color="auto" w:fill="E5F5FB"/>
          </w:tcPr>
          <w:p>
            <w:pPr>
              <w:jc w:val="center"/>
              <w:ind w:left="3"/>
              <w:spacing w:after="0"/>
              <w:rPr>
                <w:sz w:val="20"/>
                <w:szCs w:val="20"/>
                <w:color w:val="auto"/>
              </w:rPr>
            </w:pPr>
            <w:r>
              <w:rPr>
                <w:rFonts w:ascii="Arial" w:cs="Arial" w:eastAsia="Arial" w:hAnsi="Arial"/>
                <w:sz w:val="12"/>
                <w:szCs w:val="12"/>
                <w:b w:val="1"/>
                <w:bCs w:val="1"/>
                <w:color w:val="auto"/>
                <w:w w:val="87"/>
              </w:rPr>
              <w:t>P.</w:t>
            </w:r>
          </w:p>
        </w:tc>
        <w:tc>
          <w:tcPr>
            <w:tcW w:w="900" w:type="dxa"/>
            <w:vAlign w:val="bottom"/>
            <w:shd w:val="clear" w:color="auto" w:fill="E5F5FB"/>
          </w:tcPr>
          <w:p>
            <w:pPr>
              <w:jc w:val="center"/>
              <w:ind w:left="3"/>
              <w:spacing w:after="0"/>
              <w:rPr>
                <w:sz w:val="20"/>
                <w:szCs w:val="20"/>
                <w:color w:val="auto"/>
              </w:rPr>
            </w:pPr>
            <w:r>
              <w:rPr>
                <w:rFonts w:ascii="Arial" w:cs="Arial" w:eastAsia="Arial" w:hAnsi="Arial"/>
                <w:sz w:val="12"/>
                <w:szCs w:val="12"/>
                <w:b w:val="1"/>
                <w:bCs w:val="1"/>
                <w:color w:val="auto"/>
                <w:w w:val="93"/>
              </w:rPr>
              <w:t>T.</w:t>
            </w:r>
          </w:p>
        </w:tc>
        <w:tc>
          <w:tcPr>
            <w:tcW w:w="108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C.</w:t>
            </w:r>
          </w:p>
        </w:tc>
        <w:tc>
          <w:tcPr>
            <w:tcW w:w="740" w:type="dxa"/>
            <w:vAlign w:val="bottom"/>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D.</w:t>
            </w:r>
          </w:p>
        </w:tc>
      </w:tr>
      <w:tr>
        <w:trPr>
          <w:trHeight w:val="160"/>
        </w:trPr>
        <w:tc>
          <w:tcPr>
            <w:tcW w:w="1300" w:type="dxa"/>
            <w:vAlign w:val="bottom"/>
            <w:tcBorders>
              <w:bottom w:val="single" w:sz="8" w:color="00A1DF"/>
            </w:tcBorders>
            <w:shd w:val="clear" w:color="auto" w:fill="E5F5FB"/>
          </w:tcPr>
          <w:p>
            <w:pPr>
              <w:spacing w:after="0"/>
              <w:rPr>
                <w:sz w:val="20"/>
                <w:szCs w:val="20"/>
                <w:color w:val="auto"/>
              </w:rPr>
            </w:pPr>
            <w:r>
              <w:rPr>
                <w:rFonts w:ascii="Arial" w:cs="Arial" w:eastAsia="Arial" w:hAnsi="Arial"/>
                <w:sz w:val="12"/>
                <w:szCs w:val="12"/>
                <w:b w:val="1"/>
                <w:bCs w:val="1"/>
                <w:color w:val="auto"/>
              </w:rPr>
              <w:t>QUALIFICATION</w:t>
            </w:r>
          </w:p>
        </w:tc>
        <w:tc>
          <w:tcPr>
            <w:tcW w:w="90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BARRA</w:t>
            </w:r>
          </w:p>
        </w:tc>
        <w:tc>
          <w:tcPr>
            <w:tcW w:w="88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w w:val="99"/>
              </w:rPr>
              <w:t>SOLSO</w:t>
            </w:r>
          </w:p>
        </w:tc>
        <w:tc>
          <w:tcPr>
            <w:tcW w:w="78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BUSH</w:t>
            </w:r>
          </w:p>
        </w:tc>
        <w:tc>
          <w:tcPr>
            <w:tcW w:w="92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GOODEN</w:t>
            </w:r>
          </w:p>
        </w:tc>
        <w:tc>
          <w:tcPr>
            <w:tcW w:w="84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JIMENEZ</w:t>
            </w:r>
          </w:p>
        </w:tc>
        <w:tc>
          <w:tcPr>
            <w:tcW w:w="96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MENDILLO</w:t>
            </w:r>
          </w:p>
        </w:tc>
        <w:tc>
          <w:tcPr>
            <w:tcW w:w="80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MISCIK</w:t>
            </w:r>
          </w:p>
        </w:tc>
        <w:tc>
          <w:tcPr>
            <w:tcW w:w="82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RUSSO</w:t>
            </w:r>
          </w:p>
        </w:tc>
        <w:tc>
          <w:tcPr>
            <w:tcW w:w="900" w:type="dxa"/>
            <w:vAlign w:val="bottom"/>
            <w:tcBorders>
              <w:bottom w:val="single" w:sz="8" w:color="00A1DF"/>
            </w:tcBorders>
            <w:shd w:val="clear" w:color="auto" w:fill="E5F5FB"/>
          </w:tcPr>
          <w:p>
            <w:pPr>
              <w:jc w:val="center"/>
              <w:ind w:left="23"/>
              <w:spacing w:after="0"/>
              <w:rPr>
                <w:sz w:val="20"/>
                <w:szCs w:val="20"/>
                <w:color w:val="auto"/>
              </w:rPr>
            </w:pPr>
            <w:r>
              <w:rPr>
                <w:rFonts w:ascii="Arial" w:cs="Arial" w:eastAsia="Arial" w:hAnsi="Arial"/>
                <w:sz w:val="12"/>
                <w:szCs w:val="12"/>
                <w:b w:val="1"/>
                <w:bCs w:val="1"/>
                <w:color w:val="auto"/>
              </w:rPr>
              <w:t>SCHOEWE</w:t>
            </w:r>
          </w:p>
        </w:tc>
        <w:tc>
          <w:tcPr>
            <w:tcW w:w="108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STEPHENSON</w:t>
            </w:r>
          </w:p>
        </w:tc>
        <w:tc>
          <w:tcPr>
            <w:tcW w:w="740" w:type="dxa"/>
            <w:vAlign w:val="bottom"/>
            <w:tcBorders>
              <w:bottom w:val="single" w:sz="8" w:color="00A1DF"/>
            </w:tcBorders>
            <w:shd w:val="clear" w:color="auto" w:fill="E5F5FB"/>
          </w:tcPr>
          <w:p>
            <w:pPr>
              <w:jc w:val="center"/>
              <w:spacing w:after="0"/>
              <w:rPr>
                <w:sz w:val="20"/>
                <w:szCs w:val="20"/>
                <w:color w:val="auto"/>
              </w:rPr>
            </w:pPr>
            <w:r>
              <w:rPr>
                <w:rFonts w:ascii="Arial" w:cs="Arial" w:eastAsia="Arial" w:hAnsi="Arial"/>
                <w:sz w:val="12"/>
                <w:szCs w:val="12"/>
                <w:b w:val="1"/>
                <w:bCs w:val="1"/>
                <w:color w:val="auto"/>
              </w:rPr>
              <w:t>WENIG</w:t>
            </w: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spacing w:after="0"/>
              <w:rPr>
                <w:sz w:val="24"/>
                <w:szCs w:val="24"/>
                <w:color w:val="auto"/>
              </w:rPr>
            </w:pP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74"/>
              </w:rPr>
              <w:t>✓</w:t>
            </w: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407"/>
        </w:trPr>
        <w:tc>
          <w:tcPr>
            <w:tcW w:w="1300" w:type="dxa"/>
            <w:vAlign w:val="bottom"/>
            <w:shd w:val="clear" w:color="auto" w:fill="E5F5FB"/>
          </w:tcPr>
          <w:p>
            <w:pPr>
              <w:spacing w:after="0"/>
              <w:rPr>
                <w:sz w:val="24"/>
                <w:szCs w:val="24"/>
                <w:color w:val="auto"/>
              </w:rPr>
            </w:pP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96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0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2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900" w:type="dxa"/>
            <w:vAlign w:val="bottom"/>
          </w:tcPr>
          <w:p>
            <w:pPr>
              <w:spacing w:after="0"/>
              <w:rPr>
                <w:sz w:val="24"/>
                <w:szCs w:val="24"/>
                <w:color w:val="auto"/>
              </w:rPr>
            </w:pP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740" w:type="dxa"/>
            <w:vAlign w:val="bottom"/>
          </w:tcPr>
          <w:p>
            <w:pPr>
              <w:spacing w:after="0"/>
              <w:rPr>
                <w:sz w:val="24"/>
                <w:szCs w:val="24"/>
                <w:color w:val="auto"/>
              </w:rPr>
            </w:pPr>
          </w:p>
        </w:tc>
      </w:tr>
      <w:tr>
        <w:trPr>
          <w:trHeight w:val="215"/>
        </w:trPr>
        <w:tc>
          <w:tcPr>
            <w:tcW w:w="1300" w:type="dxa"/>
            <w:vAlign w:val="bottom"/>
            <w:tcBorders>
              <w:bottom w:val="single" w:sz="8" w:color="auto"/>
            </w:tcBorders>
            <w:shd w:val="clear" w:color="auto" w:fill="E5F5FB"/>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354"/>
        </w:trPr>
        <w:tc>
          <w:tcPr>
            <w:tcW w:w="1300" w:type="dxa"/>
            <w:vAlign w:val="bottom"/>
            <w:shd w:val="clear" w:color="auto" w:fill="E5F5FB"/>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0033A0"/>
                <w:w w:val="87"/>
              </w:rPr>
              <w:t>✓</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jc w:val="center"/>
              <w:ind w:left="3"/>
              <w:spacing w:after="0" w:line="161" w:lineRule="exact"/>
              <w:rPr>
                <w:sz w:val="20"/>
                <w:szCs w:val="20"/>
                <w:color w:val="auto"/>
              </w:rPr>
            </w:pPr>
            <w:r>
              <w:rPr>
                <w:rFonts w:ascii="MS PGothic" w:cs="MS PGothic" w:eastAsia="MS PGothic" w:hAnsi="MS PGothic"/>
                <w:sz w:val="16"/>
                <w:szCs w:val="16"/>
                <w:color w:val="0033A0"/>
                <w:w w:val="87"/>
              </w:rPr>
              <w:t>✓</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8"/>
        </w:trPr>
        <w:tc>
          <w:tcPr>
            <w:tcW w:w="1300" w:type="dxa"/>
            <w:vAlign w:val="bottom"/>
            <w:tcBorders>
              <w:bottom w:val="single" w:sz="8" w:color="auto"/>
            </w:tcBorders>
            <w:shd w:val="clear" w:color="auto" w:fill="E5F5FB"/>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316"/>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0033A0"/>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-4161790</wp:posOffset>
            </wp:positionV>
            <wp:extent cx="696595" cy="305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-3754120</wp:posOffset>
            </wp:positionV>
            <wp:extent cx="696595" cy="305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-3346450</wp:posOffset>
            </wp:positionV>
            <wp:extent cx="696595" cy="305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-2938780</wp:posOffset>
            </wp:positionV>
            <wp:extent cx="696595" cy="305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-2531110</wp:posOffset>
            </wp:positionV>
            <wp:extent cx="696595" cy="305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-2123440</wp:posOffset>
            </wp:positionV>
            <wp:extent cx="696595" cy="305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-1715770</wp:posOffset>
            </wp:positionV>
            <wp:extent cx="696595" cy="305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-901065</wp:posOffset>
            </wp:positionV>
            <wp:extent cx="696595" cy="305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6595" cy="30543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-493395</wp:posOffset>
            </wp:positionV>
            <wp:extent cx="526415" cy="229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6415" cy="22923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-111125</wp:posOffset>
            </wp:positionV>
            <wp:extent cx="6793865" cy="101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Director Biographies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Set forth below is a short biography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152400</wp:posOffset>
            </wp:positionV>
            <wp:extent cx="1256665" cy="1256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152400</wp:posOffset>
            </wp:positionV>
            <wp:extent cx="1256665" cy="1256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6665" cy="125666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33A0"/>
        </w:rPr>
        <w:t>Mary T. Barra, 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4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Chairman &amp; Chief Executive Officer,</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3261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Executive (Chair)</w:t>
      </w:r>
    </w:p>
    <w:p>
      <w:pPr>
        <w:spacing w:after="0" w:line="128" w:lineRule="exact"/>
        <w:rPr>
          <w:sz w:val="20"/>
          <w:szCs w:val="20"/>
          <w:color w:val="auto"/>
        </w:rPr>
      </w:pPr>
    </w:p>
    <w:p>
      <w:pPr>
        <w:ind w:left="160"/>
        <w:spacing w:after="0"/>
        <w:tabs>
          <w:tab w:leader="none" w:pos="1040" w:val="left"/>
          <w:tab w:leader="none" w:pos="1800" w:val="left"/>
          <w:tab w:leader="none" w:pos="2860" w:val="left"/>
          <w:tab w:leader="none" w:pos="4380" w:val="left"/>
          <w:tab w:leader="none" w:pos="4900" w:val="left"/>
        </w:tabs>
        <w:rPr>
          <w:sz w:val="20"/>
          <w:szCs w:val="20"/>
          <w:color w:val="auto"/>
        </w:rPr>
      </w:pPr>
      <w:r>
        <w:rPr>
          <w:rFonts w:ascii="Arial" w:cs="Arial" w:eastAsia="Arial" w:hAnsi="Arial"/>
          <w:sz w:val="20"/>
          <w:szCs w:val="20"/>
          <w:b w:val="1"/>
          <w:bCs w:val="1"/>
          <w:i w:val="1"/>
          <w:iCs w:val="1"/>
          <w:color w:val="00A1DF"/>
        </w:rPr>
        <w:t>Current</w:t>
        <w:tab/>
        <w:t>Public</w:t>
        <w:tab/>
        <w:t>Company</w:t>
        <w:tab/>
        <w:t>Directorships:</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19"/>
          <w:szCs w:val="19"/>
          <w:color w:val="auto"/>
        </w:rPr>
        <w:t>Walt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Disney Company</w:t>
      </w:r>
    </w:p>
    <w:p>
      <w:pPr>
        <w:spacing w:after="0" w:line="120"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General Dynamics</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Corporation (2011 to 2017)</w:t>
      </w:r>
    </w:p>
    <w:p>
      <w:pPr>
        <w:spacing w:after="0" w:line="10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Ms. Barra has served as Chairman of</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GM’s Board of Directors since January 2016 and CEO of GM since January 2014. Prior to that time, she served as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at GM in 1980.</w:t>
      </w:r>
    </w:p>
    <w:p>
      <w:pPr>
        <w:spacing w:after="0" w:line="116"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Ms. Barra has in-depth</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knowledge of the Company and the global automotive industry; extensive senior leadership, strategic planning, operational and business experience; and a strong engineering background with experience in global product development.</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Theodore M. Solso, 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Independent Lead Director,</w:t>
      </w:r>
    </w:p>
    <w:p>
      <w:pPr>
        <w:jc w:val="center"/>
        <w:spacing w:after="0" w:line="227" w:lineRule="auto"/>
        <w:rPr>
          <w:sz w:val="20"/>
          <w:szCs w:val="20"/>
          <w:color w:val="auto"/>
        </w:rPr>
      </w:pPr>
      <w:r>
        <w:rPr>
          <w:rFonts w:ascii="Arial" w:cs="Arial" w:eastAsia="Arial" w:hAnsi="Arial"/>
          <w:sz w:val="20"/>
          <w:szCs w:val="20"/>
          <w:i w:val="1"/>
          <w:iCs w:val="1"/>
          <w:color w:val="auto"/>
        </w:rPr>
        <w:t>General Motors Company, and Retired Chairman &amp; Chief</w:t>
      </w:r>
    </w:p>
    <w:p>
      <w:pPr>
        <w:jc w:val="center"/>
        <w:spacing w:after="0"/>
        <w:rPr>
          <w:sz w:val="20"/>
          <w:szCs w:val="20"/>
          <w:color w:val="auto"/>
        </w:rPr>
      </w:pPr>
      <w:r>
        <w:rPr>
          <w:rFonts w:ascii="Arial" w:cs="Arial" w:eastAsia="Arial" w:hAnsi="Arial"/>
          <w:sz w:val="20"/>
          <w:szCs w:val="20"/>
          <w:i w:val="1"/>
          <w:iCs w:val="1"/>
          <w:color w:val="auto"/>
        </w:rPr>
        <w:t>Executive Officer, Cummins,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76835</wp:posOffset>
            </wp:positionV>
            <wp:extent cx="3388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Executive,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00A1DF"/>
        </w:rPr>
        <w:t xml:space="preserve">Current Public Company Directorships: </w:t>
      </w:r>
      <w:r>
        <w:rPr>
          <w:rFonts w:ascii="Arial" w:cs="Arial" w:eastAsia="Arial" w:hAnsi="Arial"/>
          <w:sz w:val="19"/>
          <w:szCs w:val="19"/>
          <w:color w:val="000000"/>
        </w:rPr>
        <w:t>Ad-Astra Rocket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Ashland Inc. (1999</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to 2012) (Lead Director 2003 to 2010) and Ball Corporation (2003 to 2019) (Lead Director 2013 to 2019)</w:t>
      </w:r>
    </w:p>
    <w:p>
      <w:pPr>
        <w:spacing w:after="0" w:line="11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Mr. Solso served as Non-Executive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Chairman of the GM Board of Directors from 2014 to 2016. He was Chairman and CEO of Cummins, Inc., from 2000 until his retirement in 2011, and President and Chief Operating Officer of Cummins from 1995 to 2000.</w:t>
      </w:r>
    </w:p>
    <w:p>
      <w:pPr>
        <w:spacing w:after="0" w:line="11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Mr. Solso has extensive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experience in automotive manufacturing and engineering, emissions reduction technology, and compliance with emissions laws and regulations. He also has extensive senior leadership experience in finance, accounting, corporate governance, and vehicle and workplace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635000</wp:posOffset>
            </wp:positionV>
            <wp:extent cx="6793865" cy="101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ectPr>
          <w:pgSz w:w="11900" w:h="16838" w:orient="portrait"/>
          <w:cols w:equalWidth="0" w:num="2">
            <w:col w:w="5300" w:space="560"/>
            <w:col w:w="5220"/>
          </w:cols>
          <w:pgMar w:left="320" w:top="456"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138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33A0"/>
        </w:rPr>
        <w:t>Wesley G. Bush, 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32613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8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Retired Chairman and Chief Executive Officer,</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32613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Audit, Executive Compensation, Finance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Dow Inc. and</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Cisco Systems Inc.</w:t>
      </w:r>
    </w:p>
    <w:p>
      <w:pPr>
        <w:spacing w:after="0" w:line="120"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Norfolk Southern</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Corporation and Northrop Grumman Corporation</w:t>
      </w:r>
    </w:p>
    <w:p>
      <w:pPr>
        <w:spacing w:after="0" w:line="102" w:lineRule="exact"/>
        <w:rPr>
          <w:sz w:val="20"/>
          <w:szCs w:val="20"/>
          <w:color w:val="auto"/>
        </w:rPr>
      </w:pPr>
    </w:p>
    <w:p>
      <w:pPr>
        <w:jc w:val="both"/>
        <w:ind w:left="160"/>
        <w:spacing w:after="0"/>
        <w:rPr>
          <w:sz w:val="20"/>
          <w:szCs w:val="20"/>
          <w:color w:val="auto"/>
        </w:rPr>
      </w:pPr>
      <w:r>
        <w:rPr>
          <w:rFonts w:ascii="Arial" w:cs="Arial" w:eastAsia="Arial" w:hAnsi="Arial"/>
          <w:sz w:val="19"/>
          <w:szCs w:val="19"/>
          <w:b w:val="1"/>
          <w:bCs w:val="1"/>
          <w:i w:val="1"/>
          <w:iCs w:val="1"/>
          <w:color w:val="00A1DF"/>
        </w:rPr>
        <w:t xml:space="preserve">Prior Experience: </w:t>
      </w:r>
      <w:r>
        <w:rPr>
          <w:rFonts w:ascii="Arial" w:cs="Arial" w:eastAsia="Arial" w:hAnsi="Arial"/>
          <w:sz w:val="19"/>
          <w:szCs w:val="19"/>
          <w:color w:val="000000"/>
        </w:rPr>
        <w:t>Mr. Bush served as Chairman of the</w:t>
      </w:r>
      <w:r>
        <w:rPr>
          <w:rFonts w:ascii="Arial" w:cs="Arial" w:eastAsia="Arial" w:hAnsi="Arial"/>
          <w:sz w:val="19"/>
          <w:szCs w:val="19"/>
          <w:b w:val="1"/>
          <w:bCs w:val="1"/>
          <w:i w:val="1"/>
          <w:iCs w:val="1"/>
          <w:color w:val="00A1DF"/>
        </w:rPr>
        <w:t xml:space="preserve"> </w:t>
      </w:r>
      <w:r>
        <w:rPr>
          <w:rFonts w:ascii="Arial" w:cs="Arial" w:eastAsia="Arial" w:hAnsi="Arial"/>
          <w:sz w:val="19"/>
          <w:szCs w:val="19"/>
          <w:color w:val="000000"/>
        </w:rPr>
        <w:t>Board of Directors of Northrop Grumman Corporation (“Northrop Grumman”) from 2011 to 2019. He also served as the CEO of Northrop Grumman from 2010 to 2018. Prior to that, Mr. Bush served in numerous leadership roles at Northrop Grumman, including President and Chief Operating Officer, Chief Financial Officer, and President of the company’s Space Technology sector. He also served in a variety of leadership positions at TRW, Inc., before it was acquired by Northrop Grumman in 2002.</w:t>
      </w:r>
    </w:p>
    <w:p>
      <w:pPr>
        <w:spacing w:after="0" w:line="115"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Mr. Bush has valuable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experience in a manufacturing enterprise known for its advanced engineering and technology; strong financial acumen; and knowledge of key governance issues, including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92710</wp:posOffset>
            </wp:positionV>
            <wp:extent cx="6793865" cy="101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Linda R. Gooden, 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88265</wp:posOffset>
            </wp:positionV>
            <wp:extent cx="33883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22" w:lineRule="exact"/>
        <w:rPr>
          <w:sz w:val="20"/>
          <w:szCs w:val="20"/>
          <w:color w:val="auto"/>
        </w:rPr>
      </w:pPr>
    </w:p>
    <w:p>
      <w:pPr>
        <w:jc w:val="center"/>
        <w:ind w:left="860"/>
        <w:spacing w:after="0" w:line="255" w:lineRule="auto"/>
        <w:rPr>
          <w:sz w:val="20"/>
          <w:szCs w:val="20"/>
          <w:color w:val="auto"/>
        </w:rPr>
      </w:pPr>
      <w:r>
        <w:rPr>
          <w:rFonts w:ascii="Arial" w:cs="Arial" w:eastAsia="Arial" w:hAnsi="Arial"/>
          <w:sz w:val="19"/>
          <w:szCs w:val="19"/>
          <w:i w:val="1"/>
          <w:iCs w:val="1"/>
          <w:color w:val="auto"/>
        </w:rPr>
        <w:t>Retired Executive Vice President, Information Systems &amp; Global Solutions,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65405</wp:posOffset>
            </wp:positionV>
            <wp:extent cx="33883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Audit, Executive, Risk and Cybersecurity</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(Chair)</w:t>
      </w:r>
    </w:p>
    <w:p>
      <w:pPr>
        <w:spacing w:after="0" w:line="86" w:lineRule="exact"/>
        <w:rPr>
          <w:sz w:val="20"/>
          <w:szCs w:val="20"/>
          <w:color w:val="auto"/>
        </w:rPr>
      </w:pPr>
    </w:p>
    <w:p>
      <w:pPr>
        <w:spacing w:after="0"/>
        <w:tabs>
          <w:tab w:leader="none" w:pos="840" w:val="left"/>
          <w:tab w:leader="none" w:pos="1600" w:val="left"/>
          <w:tab w:leader="none" w:pos="2660" w:val="left"/>
          <w:tab w:leader="none" w:pos="4160" w:val="left"/>
          <w:tab w:leader="none" w:pos="4680" w:val="left"/>
        </w:tabs>
        <w:rPr>
          <w:sz w:val="20"/>
          <w:szCs w:val="20"/>
          <w:color w:val="auto"/>
        </w:rPr>
      </w:pPr>
      <w:r>
        <w:rPr>
          <w:rFonts w:ascii="Arial" w:cs="Arial" w:eastAsia="Arial" w:hAnsi="Arial"/>
          <w:sz w:val="20"/>
          <w:szCs w:val="20"/>
          <w:b w:val="1"/>
          <w:bCs w:val="1"/>
          <w:i w:val="1"/>
          <w:iCs w:val="1"/>
          <w:color w:val="00A1DF"/>
        </w:rPr>
        <w:t>Current</w:t>
        <w:tab/>
        <w:t>Public</w:t>
        <w:tab/>
        <w:t>Company</w:t>
        <w:tab/>
        <w:t>Directorships:</w:t>
      </w:r>
      <w:r>
        <w:rPr>
          <w:sz w:val="20"/>
          <w:szCs w:val="20"/>
          <w:color w:val="auto"/>
        </w:rPr>
        <w:tab/>
      </w:r>
      <w:r>
        <w:rPr>
          <w:rFonts w:ascii="Arial" w:cs="Arial" w:eastAsia="Arial" w:hAnsi="Arial"/>
          <w:sz w:val="20"/>
          <w:szCs w:val="20"/>
          <w:color w:val="auto"/>
        </w:rPr>
        <w:t>The</w:t>
      </w:r>
      <w:r>
        <w:rPr>
          <w:sz w:val="20"/>
          <w:szCs w:val="20"/>
          <w:color w:val="auto"/>
        </w:rPr>
        <w:tab/>
      </w:r>
      <w:r>
        <w:rPr>
          <w:rFonts w:ascii="Arial" w:cs="Arial" w:eastAsia="Arial" w:hAnsi="Arial"/>
          <w:sz w:val="19"/>
          <w:szCs w:val="19"/>
          <w:color w:val="auto"/>
        </w:rPr>
        <w:t>Home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Depot, Inc.</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WGL Holdings, Inc.,</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and Washington Gas &amp; Light Company, a subsidiary of WGL Holdings, Inc.</w:t>
      </w:r>
    </w:p>
    <w:p>
      <w:pPr>
        <w:spacing w:after="0" w:line="11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Ms. Gooden served as Executive Vice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President, Information Systems and Global Solutions of Lockheed Martin Corporation (“Lockheed Martin”) from 2007 to 2013. She served as Deputy Executive Vice President, Information and Technology Services of Lockheed Martin from October to December 2006; and President, Information Technology of Lockheed Martin from 1997 to December 2006.</w:t>
      </w:r>
    </w:p>
    <w:p>
      <w:pPr>
        <w:spacing w:after="0" w:line="11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i w:val="1"/>
          <w:iCs w:val="1"/>
          <w:color w:val="00A1DF"/>
        </w:rPr>
        <w:t xml:space="preserve">Reasons for Nomination: </w:t>
      </w:r>
      <w:r>
        <w:rPr>
          <w:rFonts w:ascii="Arial" w:cs="Arial" w:eastAsia="Arial" w:hAnsi="Arial"/>
          <w:sz w:val="19"/>
          <w:szCs w:val="19"/>
          <w:color w:val="000000"/>
        </w:rPr>
        <w:t>Ms. Gooden has extensive</w:t>
      </w:r>
      <w:r>
        <w:rPr>
          <w:rFonts w:ascii="Arial" w:cs="Arial" w:eastAsia="Arial" w:hAnsi="Arial"/>
          <w:sz w:val="19"/>
          <w:szCs w:val="19"/>
          <w:b w:val="1"/>
          <w:bCs w:val="1"/>
          <w:i w:val="1"/>
          <w:iCs w:val="1"/>
          <w:color w:val="00A1DF"/>
        </w:rPr>
        <w:t xml:space="preserve"> </w:t>
      </w:r>
      <w:r>
        <w:rPr>
          <w:rFonts w:ascii="Arial" w:cs="Arial" w:eastAsia="Arial" w:hAnsi="Arial"/>
          <w:sz w:val="19"/>
          <w:szCs w:val="19"/>
          <w:color w:val="000000"/>
        </w:rPr>
        <w:t>expertise in cybersecurity and information technology, operational and strategic planning, and government relations, as well as valuable insight into GM’s cybersecurity framework related to mobility and autonomous vehicles.</w:t>
      </w:r>
    </w:p>
    <w:p>
      <w:pPr>
        <w:spacing w:after="0" w:line="143" w:lineRule="exact"/>
        <w:rPr>
          <w:sz w:val="20"/>
          <w:szCs w:val="20"/>
          <w:color w:val="auto"/>
        </w:rPr>
      </w:pPr>
    </w:p>
    <w:p>
      <w:pPr>
        <w:ind w:left="5100"/>
        <w:spacing w:after="0"/>
        <w:rPr>
          <w:sz w:val="20"/>
          <w:szCs w:val="20"/>
          <w:color w:val="auto"/>
        </w:rPr>
      </w:pPr>
      <w:r>
        <w:rPr>
          <w:rFonts w:ascii="Arial" w:cs="Arial" w:eastAsia="Arial" w:hAnsi="Arial"/>
          <w:sz w:val="14"/>
          <w:szCs w:val="14"/>
          <w:color w:val="0033A0"/>
        </w:rPr>
        <w:t>5</w:t>
      </w:r>
    </w:p>
    <w:p>
      <w:pPr>
        <w:sectPr>
          <w:pgSz w:w="11900" w:h="16838" w:orient="portrait"/>
          <w:cols w:equalWidth="0" w:num="2">
            <w:col w:w="5300" w:space="560"/>
            <w:col w:w="522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138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33A0"/>
        </w:rPr>
        <w:t>Joseph Jimenez, 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4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Retired Chief Executive Officer,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32613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24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Executive, Executive Compensation,</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Finance (Chair), Risk and Cybersecurity</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The Procter &amp;</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Gamble Co.</w:t>
      </w:r>
    </w:p>
    <w:p>
      <w:pPr>
        <w:spacing w:after="0" w:line="120"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Colgate-Palmolive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Company (2010 to 2015)</w:t>
      </w:r>
    </w:p>
    <w:p>
      <w:pPr>
        <w:spacing w:after="0" w:line="10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Mr. Jimenez served as CEO of Novartis</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AG (“Novartis”) from 2010 until his retirement in 2018. He led Novartis’ Pharmaceuticals Division from October 2007 to 2010 and its Consumer Health Division in 2007. From 2006 to 2007, Mr. Jimenez served as Advisor to the Blackstone Group L.P. He was Executive Vice President, President and CEO of Heinz Europe from 2002 to 2006, and President and CEO of H.J. Heinz Company North America from 1999 to 2002.</w:t>
      </w:r>
    </w:p>
    <w:p>
      <w:pPr>
        <w:spacing w:after="0" w:line="120"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Mr. Jimenez has extensive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senior leadership experience in the consumer products industry, international operations, strategic planning, and finance.</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Jane L. Mendillo, 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Retired President &amp;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Harvard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76835</wp:posOffset>
            </wp:positionV>
            <wp:extent cx="33883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Audit, Finance,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Lazard Ltd.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None</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9"/>
          <w:szCs w:val="19"/>
          <w:b w:val="1"/>
          <w:bCs w:val="1"/>
          <w:i w:val="1"/>
          <w:iCs w:val="1"/>
          <w:color w:val="00A1DF"/>
        </w:rPr>
        <w:t xml:space="preserve">Prior Experience: </w:t>
      </w:r>
      <w:r>
        <w:rPr>
          <w:rFonts w:ascii="Arial" w:cs="Arial" w:eastAsia="Arial" w:hAnsi="Arial"/>
          <w:sz w:val="19"/>
          <w:szCs w:val="19"/>
          <w:color w:val="000000"/>
        </w:rPr>
        <w:t>Ms. Mendillo was President and CEO of</w:t>
      </w:r>
      <w:r>
        <w:rPr>
          <w:rFonts w:ascii="Arial" w:cs="Arial" w:eastAsia="Arial" w:hAnsi="Arial"/>
          <w:sz w:val="19"/>
          <w:szCs w:val="19"/>
          <w:b w:val="1"/>
          <w:bCs w:val="1"/>
          <w:i w:val="1"/>
          <w:iCs w:val="1"/>
          <w:color w:val="00A1DF"/>
        </w:rPr>
        <w:t xml:space="preserve"> </w:t>
      </w:r>
      <w:r>
        <w:rPr>
          <w:rFonts w:ascii="Arial" w:cs="Arial" w:eastAsia="Arial" w:hAnsi="Arial"/>
          <w:sz w:val="19"/>
          <w:szCs w:val="19"/>
          <w:color w:val="000000"/>
        </w:rPr>
        <w:t>the Harvard Management Company (“HMC”) from 2008 to 2014. From 2002 to 2008, she was Chief Investment Officer of Wellesley College. Before that, she spent 15 years at HMC in investment management positions. She previously chaired the Partners Healthcare System’s investment committee, served as a member of Yale University’s and the Rockefeller Foundation’s investment committees and as a director and investment committee member of the Mellon Foundation and the Boston Foundation.</w:t>
      </w:r>
    </w:p>
    <w:p>
      <w:pPr>
        <w:spacing w:after="0" w:line="11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Ms. Mendillo has experience in</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risk and crisis management, as well as valuable insight into GM’s capital allocation framework, financial policies,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362585</wp:posOffset>
            </wp:positionV>
            <wp:extent cx="6793865" cy="101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ectPr>
          <w:pgSz w:w="11900" w:h="16838" w:orient="portrait"/>
          <w:cols w:equalWidth="0" w:num="2">
            <w:col w:w="5300" w:space="560"/>
            <w:col w:w="522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138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0033A0"/>
        </w:rPr>
        <w:t>Judith A. Miscik, 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8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Chief Executive Officer &amp; Vice Chairman,</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Kissinger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32613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Audit, Risk and Cybersecurity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00A1DF"/>
        </w:rPr>
        <w:t xml:space="preserve">Current Public Company Directorships: </w:t>
      </w:r>
      <w:r>
        <w:rPr>
          <w:rFonts w:ascii="Arial" w:cs="Arial" w:eastAsia="Arial" w:hAnsi="Arial"/>
          <w:sz w:val="19"/>
          <w:szCs w:val="19"/>
          <w:color w:val="000000"/>
        </w:rPr>
        <w:t>Morgan Stanley</w:t>
      </w:r>
    </w:p>
    <w:p>
      <w:pPr>
        <w:spacing w:after="0" w:line="156"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EMC Corporation</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(2012 to 2016) and Pivotal Software, Inc. (2014 to 2016)</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19"/>
          <w:szCs w:val="19"/>
          <w:b w:val="1"/>
          <w:bCs w:val="1"/>
          <w:i w:val="1"/>
          <w:iCs w:val="1"/>
          <w:color w:val="00A1DF"/>
        </w:rPr>
        <w:t xml:space="preserve">Prior Experience: </w:t>
      </w:r>
      <w:r>
        <w:rPr>
          <w:rFonts w:ascii="Arial" w:cs="Arial" w:eastAsia="Arial" w:hAnsi="Arial"/>
          <w:sz w:val="19"/>
          <w:szCs w:val="19"/>
          <w:color w:val="000000"/>
        </w:rPr>
        <w:t>In 2017, Ms. Miscik was appointed as</w:t>
      </w:r>
      <w:r>
        <w:rPr>
          <w:rFonts w:ascii="Arial" w:cs="Arial" w:eastAsia="Arial" w:hAnsi="Arial"/>
          <w:sz w:val="19"/>
          <w:szCs w:val="19"/>
          <w:b w:val="1"/>
          <w:bCs w:val="1"/>
          <w:i w:val="1"/>
          <w:iCs w:val="1"/>
          <w:color w:val="00A1DF"/>
        </w:rPr>
        <w:t xml:space="preserve"> </w:t>
      </w:r>
      <w:r>
        <w:rPr>
          <w:rFonts w:ascii="Arial" w:cs="Arial" w:eastAsia="Arial" w:hAnsi="Arial"/>
          <w:sz w:val="19"/>
          <w:szCs w:val="19"/>
          <w:color w:val="000000"/>
        </w:rPr>
        <w:t>CEO and Vice Chairman of Kissinger Associates, Inc. (“Kissinger Associates”). Prior to that time, she served as Co-Chief Executive Officer and Vice Chairman of Kissinger Associates from 2015 to 2017 and as President and Vice Chairman of Kissinger Associates from 2009 to 2015. Prior to joining Kissinger Associates, Ms. Miscik was the Global Head of Sovereign Risk at Lehman Brothers from 2005 to 2008; and from 2002 to 2005, Deputy Director for Intelligence at the U.S. Central Intelligence Agency from 1983 to 2005, which she jointed in 1983.</w:t>
      </w:r>
    </w:p>
    <w:p>
      <w:pPr>
        <w:spacing w:after="0" w:line="121"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Ms. Miscik has a unique and</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extensive background in intelligence, security, and risk analysis, bringing valuable experience in assessing and mitigating geopolitical and macroeconomic risks in both the public and private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228600</wp:posOffset>
            </wp:positionV>
            <wp:extent cx="6793865" cy="101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Patricia F. Russo, 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Chairman, Hewlett Packard Enterprise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123825</wp:posOffset>
            </wp:positionV>
            <wp:extent cx="33883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Executive, Executive Compensation, Finance,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Governance</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Hewlett Packard</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Enterprise Company (Chairman), KKR Management LLC, and Merck &amp; Co. Inc.</w:t>
      </w:r>
    </w:p>
    <w:p>
      <w:pPr>
        <w:spacing w:after="0" w:line="115"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Hewlett-Packard</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Company (2011 to 2015) (Lead Director 2014 to 2015) and Alcoa, Inc. (2016)</w:t>
      </w:r>
    </w:p>
    <w:p>
      <w:pPr>
        <w:spacing w:after="0" w:line="11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Ms. Russo served as Lead Director of</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the Hewlett-Packard Company Board of Directors from 2014 to 2015. She was Independent Lead Director of the GM Board of Directors from March 2010 to January 2014. She also served as CEO of Alcatel-Lucent S.A. from 2006 to 2008; Chairman and CEO of Lucent Technologies, Inc., (“Lucent”) from 2003 to 2006; and President and CEO of Lucent from 2002 to 2006.</w:t>
      </w:r>
    </w:p>
    <w:p>
      <w:pPr>
        <w:spacing w:after="0" w:line="11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Ms. Russo has extensive senior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leadership experience in corporate strategy, finance, sales and marketing, technology, and leadership development, as well as experience managing business-critical technology disruptions.</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4"/>
          <w:szCs w:val="14"/>
          <w:color w:val="0033A0"/>
        </w:rPr>
        <w:t>7</w:t>
      </w:r>
    </w:p>
    <w:p>
      <w:pPr>
        <w:sectPr>
          <w:pgSz w:w="11900" w:h="16838" w:orient="portrait"/>
          <w:cols w:equalWidth="0" w:num="2">
            <w:col w:w="5300" w:space="560"/>
            <w:col w:w="5220"/>
          </w:cols>
          <w:pgMar w:left="320" w:top="456"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138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0033A0"/>
        </w:rPr>
        <w:t>Thomas M. Schoewe, 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82"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Retired Executive Vice President &amp;</w:t>
      </w:r>
    </w:p>
    <w:p>
      <w:pPr>
        <w:spacing w:after="0" w:line="4" w:lineRule="exact"/>
        <w:rPr>
          <w:sz w:val="20"/>
          <w:szCs w:val="20"/>
          <w:color w:val="auto"/>
        </w:rPr>
      </w:pPr>
    </w:p>
    <w:p>
      <w:pPr>
        <w:jc w:val="center"/>
        <w:ind w:left="160"/>
        <w:spacing w:after="0"/>
        <w:rPr>
          <w:sz w:val="20"/>
          <w:szCs w:val="20"/>
          <w:color w:val="auto"/>
        </w:rPr>
      </w:pPr>
      <w:r>
        <w:rPr>
          <w:rFonts w:ascii="Arial" w:cs="Arial" w:eastAsia="Arial" w:hAnsi="Arial"/>
          <w:sz w:val="20"/>
          <w:szCs w:val="20"/>
          <w:i w:val="1"/>
          <w:iCs w:val="1"/>
          <w:color w:val="auto"/>
        </w:rPr>
        <w:t>Chief Financial Officer, 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32613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7"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Committees</w:t>
      </w:r>
      <w:r>
        <w:rPr>
          <w:rFonts w:ascii="Arial" w:cs="Arial" w:eastAsia="Arial" w:hAnsi="Arial"/>
          <w:sz w:val="20"/>
          <w:szCs w:val="20"/>
          <w:b w:val="1"/>
          <w:bCs w:val="1"/>
          <w:color w:val="000000"/>
        </w:rPr>
        <w:t>:</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Audit (Chair), Executive, Finance, Risk and</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Cybersecurity</w:t>
      </w:r>
    </w:p>
    <w:p>
      <w:pPr>
        <w:spacing w:after="0" w:line="102"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KKR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Management LLC and Northrop Grumman Corporation</w:t>
      </w:r>
    </w:p>
    <w:p>
      <w:pPr>
        <w:spacing w:after="0" w:line="102"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 </w:t>
      </w:r>
      <w:r>
        <w:rPr>
          <w:rFonts w:ascii="Arial" w:cs="Arial" w:eastAsia="Arial" w:hAnsi="Arial"/>
          <w:sz w:val="20"/>
          <w:szCs w:val="20"/>
          <w:color w:val="000000"/>
        </w:rPr>
        <w:t>PulteGroup, Inc.</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(2009 to 2012)</w:t>
      </w:r>
    </w:p>
    <w:p>
      <w:pPr>
        <w:spacing w:after="0" w:line="102"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Mr. Schoewe served as Executive Vice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President and Chief Financial Officer of Wal-Mart Stores, Inc. (“Wal-Mart”) from 2000 to 2011. Prior to joining Wal-Mart, he was Senior Vice President and Chief Financial Officer of Black &amp; Decker Corporation (“Black &amp; Decker”) from 1996 to 1999. Prior to that, he served in numerous leadership roles at Black &amp; Decker, including Vice President and Chief Financial Officer, Vice President of Finance, and Vice President of Business Planning and Analysis.</w:t>
      </w:r>
    </w:p>
    <w:p>
      <w:pPr>
        <w:spacing w:after="0" w:line="116"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Mr. Schoewe has senior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leadership experience in financial reporting, accounting and controls, business planning and analysis, and risk management. He also has valuable insight into GM’s technology systems and processes and cybersecurity framework.</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3A0"/>
        </w:rPr>
        <w:t>Carol M. Stephenson, O.C.,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62865</wp:posOffset>
            </wp:positionV>
            <wp:extent cx="33883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Retired Dean, Ivey Business School,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University of Western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76835</wp:posOffset>
            </wp:positionV>
            <wp:extent cx="33883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Executive, Executive Compensation (Chair),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Governance and Corporate Responsibility</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Intact Financial</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Corporation (formerly ING Canada) and Maple Leaf Foods Inc.</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Ballard Power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Systems, Inc. (2012 to 2017) and Manitoba Telecom Services (2008 to 2016)</w:t>
      </w:r>
    </w:p>
    <w:p>
      <w:pPr>
        <w:spacing w:after="0" w:line="11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Ms. Stephenson served as Dean of the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Ivey Business School at the University of Western Ontario from 2003 until her retirement in 2013. Prior to joining the Ivey Business School, she was President and CEO of Lucent Technologies Canada from 1999 to 2003 and a member of the Advisory Board of General Motors of Canada, Limited, a GM subsidiary, from 2005 to 2009. Ms. Stephenson is an officer of the Order of Canada.</w:t>
      </w:r>
    </w:p>
    <w:p>
      <w:pPr>
        <w:spacing w:after="0" w:line="11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Ms. Stephenson has expertise in</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marketing, operations, strategic planning, technology development, financial management, and executive compensation. She also has extensive expertise in North American trade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228600</wp:posOffset>
            </wp:positionV>
            <wp:extent cx="6793865" cy="101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ectPr>
          <w:pgSz w:w="11900" w:h="16838" w:orient="portrait"/>
          <w:cols w:equalWidth="0" w:num="2">
            <w:col w:w="5300" w:space="560"/>
            <w:col w:w="522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304165</wp:posOffset>
            </wp:positionV>
            <wp:extent cx="6929755" cy="138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138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240"/>
        <w:spacing w:after="0"/>
        <w:rPr>
          <w:sz w:val="20"/>
          <w:szCs w:val="20"/>
          <w:color w:val="auto"/>
        </w:rPr>
      </w:pPr>
      <w:r>
        <w:rPr>
          <w:rFonts w:ascii="Arial" w:cs="Arial" w:eastAsia="Arial" w:hAnsi="Arial"/>
          <w:sz w:val="21"/>
          <w:szCs w:val="21"/>
          <w:b w:val="1"/>
          <w:bCs w:val="1"/>
          <w:color w:val="0033A0"/>
        </w:rPr>
        <w:t>Devin N. Wenig, 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32613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82" w:lineRule="exact"/>
        <w:rPr>
          <w:sz w:val="20"/>
          <w:szCs w:val="20"/>
          <w:color w:val="auto"/>
        </w:rPr>
      </w:pPr>
    </w:p>
    <w:p>
      <w:pPr>
        <w:jc w:val="center"/>
        <w:ind w:right="3240"/>
        <w:spacing w:after="0"/>
        <w:rPr>
          <w:sz w:val="20"/>
          <w:szCs w:val="20"/>
          <w:color w:val="auto"/>
        </w:rPr>
      </w:pPr>
      <w:r>
        <w:rPr>
          <w:rFonts w:ascii="Arial" w:cs="Arial" w:eastAsia="Arial" w:hAnsi="Arial"/>
          <w:sz w:val="20"/>
          <w:szCs w:val="20"/>
          <w:i w:val="1"/>
          <w:iCs w:val="1"/>
          <w:color w:val="auto"/>
        </w:rPr>
        <w:t>Retired President &amp; Chief Executive Officer,</w:t>
      </w:r>
    </w:p>
    <w:p>
      <w:pPr>
        <w:spacing w:after="0" w:line="4" w:lineRule="exact"/>
        <w:rPr>
          <w:sz w:val="20"/>
          <w:szCs w:val="20"/>
          <w:color w:val="auto"/>
        </w:rPr>
      </w:pPr>
    </w:p>
    <w:p>
      <w:pPr>
        <w:jc w:val="center"/>
        <w:ind w:right="3240"/>
        <w:spacing w:after="0"/>
        <w:rPr>
          <w:sz w:val="20"/>
          <w:szCs w:val="20"/>
          <w:color w:val="auto"/>
        </w:rPr>
      </w:pPr>
      <w:r>
        <w:rPr>
          <w:rFonts w:ascii="Arial" w:cs="Arial" w:eastAsia="Arial" w:hAnsi="Arial"/>
          <w:sz w:val="20"/>
          <w:szCs w:val="20"/>
          <w:i w:val="1"/>
          <w:iCs w:val="1"/>
          <w:color w:val="auto"/>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32613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Committees: </w:t>
      </w:r>
      <w:r>
        <w:rPr>
          <w:rFonts w:ascii="Arial" w:cs="Arial" w:eastAsia="Arial" w:hAnsi="Arial"/>
          <w:sz w:val="20"/>
          <w:szCs w:val="20"/>
          <w:color w:val="000000"/>
        </w:rPr>
        <w:t>Risk and Cybersecurity</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 xml:space="preserve">Current Public Company Directorships: </w:t>
      </w:r>
      <w:r>
        <w:rPr>
          <w:rFonts w:ascii="Arial" w:cs="Arial" w:eastAsia="Arial" w:hAnsi="Arial"/>
          <w:sz w:val="20"/>
          <w:szCs w:val="20"/>
          <w:color w:val="000000"/>
        </w:rPr>
        <w:t>None</w:t>
      </w:r>
    </w:p>
    <w:p>
      <w:pPr>
        <w:spacing w:after="0" w:line="144" w:lineRule="exact"/>
        <w:rPr>
          <w:sz w:val="20"/>
          <w:szCs w:val="20"/>
          <w:color w:val="auto"/>
        </w:rPr>
      </w:pPr>
    </w:p>
    <w:p>
      <w:pPr>
        <w:jc w:val="both"/>
        <w:ind w:left="160" w:right="3420"/>
        <w:spacing w:after="0" w:line="254" w:lineRule="auto"/>
        <w:rPr>
          <w:sz w:val="20"/>
          <w:szCs w:val="20"/>
          <w:color w:val="auto"/>
        </w:rPr>
      </w:pPr>
      <w:r>
        <w:rPr>
          <w:rFonts w:ascii="Arial" w:cs="Arial" w:eastAsia="Arial" w:hAnsi="Arial"/>
          <w:sz w:val="20"/>
          <w:szCs w:val="20"/>
          <w:b w:val="1"/>
          <w:bCs w:val="1"/>
          <w:i w:val="1"/>
          <w:iCs w:val="1"/>
          <w:color w:val="00A1DF"/>
        </w:rPr>
        <w:t xml:space="preserve">Prior Public Company Directorships: </w:t>
      </w:r>
      <w:r>
        <w:rPr>
          <w:rFonts w:ascii="Arial" w:cs="Arial" w:eastAsia="Arial" w:hAnsi="Arial"/>
          <w:sz w:val="20"/>
          <w:szCs w:val="20"/>
          <w:color w:val="000000"/>
        </w:rPr>
        <w:t>eBay Inc. (2015 to</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2019)</w:t>
      </w:r>
    </w:p>
    <w:p>
      <w:pPr>
        <w:spacing w:after="0" w:line="102" w:lineRule="exact"/>
        <w:rPr>
          <w:sz w:val="20"/>
          <w:szCs w:val="20"/>
          <w:color w:val="auto"/>
        </w:rPr>
      </w:pPr>
    </w:p>
    <w:p>
      <w:pPr>
        <w:jc w:val="both"/>
        <w:ind w:left="160" w:right="3420"/>
        <w:spacing w:after="0" w:line="228" w:lineRule="auto"/>
        <w:rPr>
          <w:sz w:val="20"/>
          <w:szCs w:val="20"/>
          <w:color w:val="auto"/>
        </w:rPr>
      </w:pPr>
      <w:r>
        <w:rPr>
          <w:rFonts w:ascii="Arial" w:cs="Arial" w:eastAsia="Arial" w:hAnsi="Arial"/>
          <w:sz w:val="20"/>
          <w:szCs w:val="20"/>
          <w:b w:val="1"/>
          <w:bCs w:val="1"/>
          <w:i w:val="1"/>
          <w:iCs w:val="1"/>
          <w:color w:val="00A1DF"/>
        </w:rPr>
        <w:t xml:space="preserve">Prior Experience: </w:t>
      </w:r>
      <w:r>
        <w:rPr>
          <w:rFonts w:ascii="Arial" w:cs="Arial" w:eastAsia="Arial" w:hAnsi="Arial"/>
          <w:sz w:val="20"/>
          <w:szCs w:val="20"/>
          <w:color w:val="000000"/>
        </w:rPr>
        <w:t>Mr. Wenig served as President and</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CEO of eBay Inc. (“eBay”), as well as a member of its Board of Directors, from July 2015 to August 2019. Prior to that time, he served as President of eBay’s Marketplaces business from 2011 to July 2015. Prior to joining eBay, Mr. Wenig was CEO of Thomson Reuters Corporation’s largest division, Thomson Reuters Markets, from 2008 to 2011; Chief Operating Officer of Reuters Group plc (“Reuters”) from 2006 to 2008; and President of Reuters Business divisions from 2003 to 2006.</w:t>
      </w:r>
    </w:p>
    <w:p>
      <w:pPr>
        <w:spacing w:after="0" w:line="116" w:lineRule="exact"/>
        <w:rPr>
          <w:sz w:val="20"/>
          <w:szCs w:val="20"/>
          <w:color w:val="auto"/>
        </w:rPr>
      </w:pPr>
    </w:p>
    <w:p>
      <w:pPr>
        <w:jc w:val="both"/>
        <w:ind w:left="160" w:right="3420"/>
        <w:spacing w:after="0" w:line="230" w:lineRule="auto"/>
        <w:rPr>
          <w:sz w:val="20"/>
          <w:szCs w:val="20"/>
          <w:color w:val="auto"/>
        </w:rPr>
      </w:pPr>
      <w:r>
        <w:rPr>
          <w:rFonts w:ascii="Arial" w:cs="Arial" w:eastAsia="Arial" w:hAnsi="Arial"/>
          <w:sz w:val="20"/>
          <w:szCs w:val="20"/>
          <w:b w:val="1"/>
          <w:bCs w:val="1"/>
          <w:i w:val="1"/>
          <w:iCs w:val="1"/>
          <w:color w:val="00A1DF"/>
        </w:rPr>
        <w:t xml:space="preserve">Reasons for Nomination: </w:t>
      </w:r>
      <w:r>
        <w:rPr>
          <w:rFonts w:ascii="Arial" w:cs="Arial" w:eastAsia="Arial" w:hAnsi="Arial"/>
          <w:sz w:val="20"/>
          <w:szCs w:val="20"/>
          <w:color w:val="000000"/>
        </w:rPr>
        <w:t>Mr. Wenig has extensive senior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leadership experience in technology, global operations, and strategic planning. His experience leading technology companies provides key insights into GM’s cybersecurity framework and strategy related to the future of mobility, autonomous vehicles, vehicle connectivity, and data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90805</wp:posOffset>
            </wp:positionV>
            <wp:extent cx="6793865" cy="101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0033A0"/>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520"/>
        <w:spacing w:after="0"/>
        <w:rPr>
          <w:sz w:val="20"/>
          <w:szCs w:val="20"/>
          <w:color w:val="auto"/>
        </w:rPr>
      </w:pPr>
      <w:r>
        <w:rPr>
          <w:rFonts w:ascii="Arial" w:cs="Arial" w:eastAsia="Arial" w:hAnsi="Arial"/>
          <w:sz w:val="14"/>
          <w:szCs w:val="14"/>
          <w:color w:val="0033A0"/>
        </w:rPr>
        <w:t>9</w:t>
      </w:r>
    </w:p>
    <w:p>
      <w:pPr>
        <w:sectPr>
          <w:pgSz w:w="11900" w:h="16838" w:orient="portrait"/>
          <w:cols w:equalWidth="0" w:num="2">
            <w:col w:w="8720" w:space="720"/>
            <w:col w:w="164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NON-EMPLOYEE DIRECTOR COMPENSATION</w:t>
      </w:r>
    </w:p>
    <w:p>
      <w:pPr>
        <w:sectPr>
          <w:pgSz w:w="11900" w:h="16838" w:orient="portrait"/>
          <w:cols w:equalWidth="0" w:num="1">
            <w:col w:w="11080"/>
          </w:cols>
          <w:pgMar w:left="320" w:top="456" w:right="499" w:bottom="1440" w:gutter="0" w:footer="0" w:header="0"/>
        </w:sectPr>
      </w:pPr>
    </w:p>
    <w:p>
      <w:pPr>
        <w:spacing w:after="0" w:line="29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Our non-employee directors receive cash compensation as well as equity compensation in the form of GM DSUs for their Board service. Compensation for our non-employee directors is set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by the Board at the recommendation of the Governance Committee.</w:t>
      </w:r>
    </w:p>
    <w:p>
      <w:pPr>
        <w:spacing w:after="0" w:line="62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1027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1027430"/>
                    </a:xfrm>
                    <a:prstGeom prst="rect">
                      <a:avLst/>
                    </a:prstGeom>
                    <a:noFill/>
                  </pic:spPr>
                </pic:pic>
              </a:graphicData>
            </a:graphic>
          </wp:anchor>
        </w:drawing>
      </w:r>
    </w:p>
    <w:p>
      <w:pPr>
        <w:spacing w:after="0" w:line="170" w:lineRule="exact"/>
        <w:rPr>
          <w:sz w:val="20"/>
          <w:szCs w:val="20"/>
          <w:color w:val="auto"/>
        </w:rPr>
      </w:pPr>
    </w:p>
    <w:p>
      <w:pPr>
        <w:ind w:left="800" w:hanging="419"/>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Fairly compensate directors for their responsibilities and time commitments.</w:t>
      </w:r>
    </w:p>
    <w:p>
      <w:pPr>
        <w:spacing w:after="0" w:line="64" w:lineRule="exact"/>
        <w:rPr>
          <w:rFonts w:ascii="Arial" w:cs="Arial" w:eastAsia="Arial" w:hAnsi="Arial"/>
          <w:sz w:val="20"/>
          <w:szCs w:val="20"/>
          <w:color w:val="auto"/>
        </w:rPr>
      </w:pPr>
    </w:p>
    <w:p>
      <w:pPr>
        <w:ind w:left="800" w:right="540" w:hanging="419"/>
        <w:spacing w:after="0" w:line="234"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Attract and retain highly qualified directors by offering a compensation program consistent with those at companies of similar size, scope, and complexity.</w:t>
      </w:r>
    </w:p>
    <w:p>
      <w:pPr>
        <w:spacing w:after="0" w:line="59" w:lineRule="exact"/>
        <w:rPr>
          <w:rFonts w:ascii="Arial" w:cs="Arial" w:eastAsia="Arial" w:hAnsi="Arial"/>
          <w:sz w:val="20"/>
          <w:szCs w:val="20"/>
          <w:color w:val="auto"/>
        </w:rPr>
      </w:pPr>
    </w:p>
    <w:p>
      <w:pPr>
        <w:ind w:left="800" w:right="540" w:hanging="419"/>
        <w:spacing w:after="0" w:line="253"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Align the interests of directors with our shareholders by providing a significant portion of compensation in equity and requiring directors to continue to own our common stock (or common stock equivalents) until retirement.</w:t>
      </w:r>
    </w:p>
    <w:p>
      <w:pPr>
        <w:spacing w:after="0" w:line="47" w:lineRule="exact"/>
        <w:rPr>
          <w:rFonts w:ascii="Arial" w:cs="Arial" w:eastAsia="Arial" w:hAnsi="Arial"/>
          <w:sz w:val="19"/>
          <w:szCs w:val="19"/>
          <w:color w:val="auto"/>
        </w:rPr>
      </w:pPr>
    </w:p>
    <w:p>
      <w:pPr>
        <w:ind w:left="800" w:hanging="419"/>
        <w:spacing w:after="0"/>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Provide compensation that is simple and transparent to shareholders.</w:t>
      </w:r>
    </w:p>
    <w:p>
      <w:pPr>
        <w:spacing w:after="0" w:line="377" w:lineRule="exact"/>
        <w:rPr>
          <w:sz w:val="20"/>
          <w:szCs w:val="20"/>
          <w:color w:val="auto"/>
        </w:rPr>
      </w:pPr>
    </w:p>
    <w:p>
      <w:pPr>
        <w:ind w:left="700" w:hanging="533"/>
        <w:spacing w:after="0"/>
        <w:tabs>
          <w:tab w:leader="none" w:pos="700" w:val="left"/>
        </w:tabs>
        <w:numPr>
          <w:ilvl w:val="0"/>
          <w:numId w:val="4"/>
        </w:numPr>
        <w:rPr>
          <w:rFonts w:ascii="Arial" w:cs="Arial" w:eastAsia="Arial" w:hAnsi="Arial"/>
          <w:sz w:val="25"/>
          <w:szCs w:val="25"/>
          <w:color w:val="0033A0"/>
        </w:rPr>
      </w:pPr>
      <w:r>
        <w:rPr>
          <w:rFonts w:ascii="Arial" w:cs="Arial" w:eastAsia="Arial" w:hAnsi="Arial"/>
          <w:sz w:val="25"/>
          <w:szCs w:val="25"/>
          <w:color w:val="auto"/>
        </w:rPr>
        <w:t>Annual Review Process</w:t>
      </w:r>
    </w:p>
    <w:p>
      <w:pPr>
        <w:sectPr>
          <w:pgSz w:w="11900" w:h="16838" w:orient="portrait"/>
          <w:cols w:equalWidth="0" w:num="1">
            <w:col w:w="11080"/>
          </w:cols>
          <w:pgMar w:left="320" w:top="456" w:right="499" w:bottom="1440" w:gutter="0" w:footer="0" w:header="0"/>
          <w:type w:val="continuous"/>
        </w:sectPr>
      </w:pP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The Governance Committee annually assesses the form and amount of non-employee director compensation and recommends changes, if appropriate, to the Board. As part of its annual review, the Committee conducts extensive benchmarking by reviewing director compensation data for the executive compensation peer group described in “Executive Compensation—Compensation Overview—Peer Group for Compensation Comparisons” on page 43 of this Proxy Statement.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In December 2019, following its annual review of GM’s director compensation, the Board and the Governance Committee approved an increase in non-employee director compensation. In March 2020, the Board and the Governance Committee, in response to the COVID-19 pandemic, approved a 20% temporary reduction in base annual compensation, effective April 1, 2020, and continuing until at least October 2020, but no later than March 15, 2021. Beginning in 2020, director compensation will be as set forth on page 11 of this Proxy Statement.</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Director Stock Ownership and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156845</wp:posOffset>
            </wp:positionV>
            <wp:extent cx="6929755" cy="1477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1477645"/>
                    </a:xfrm>
                    <a:prstGeom prst="rect">
                      <a:avLst/>
                    </a:prstGeom>
                    <a:noFill/>
                  </pic:spPr>
                </pic:pic>
              </a:graphicData>
            </a:graphic>
          </wp:anchor>
        </w:drawing>
      </w:r>
    </w:p>
    <w:p>
      <w:pPr>
        <w:spacing w:after="0" w:line="250" w:lineRule="exact"/>
        <w:rPr>
          <w:sz w:val="20"/>
          <w:szCs w:val="20"/>
          <w:color w:val="auto"/>
        </w:rPr>
      </w:pPr>
    </w:p>
    <w:p>
      <w:pPr>
        <w:ind w:left="800" w:right="540" w:hanging="419"/>
        <w:spacing w:after="0" w:line="234"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non-employee director is required to own our common stock or DSUs with a market value of at least $500,000.</w:t>
      </w:r>
    </w:p>
    <w:p>
      <w:pPr>
        <w:spacing w:after="0" w:line="59" w:lineRule="exact"/>
        <w:rPr>
          <w:rFonts w:ascii="Arial" w:cs="Arial" w:eastAsia="Arial" w:hAnsi="Arial"/>
          <w:sz w:val="20"/>
          <w:szCs w:val="20"/>
          <w:color w:val="auto"/>
        </w:rPr>
      </w:pPr>
    </w:p>
    <w:p>
      <w:pPr>
        <w:ind w:left="800" w:right="540" w:hanging="419"/>
        <w:spacing w:after="0" w:line="234"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Each director has up to five years from the date he or she is first elected to the Board to meet this ownership requirement.</w:t>
      </w:r>
    </w:p>
    <w:p>
      <w:pPr>
        <w:spacing w:after="0" w:line="59" w:lineRule="exact"/>
        <w:rPr>
          <w:rFonts w:ascii="Arial" w:cs="Arial" w:eastAsia="Arial" w:hAnsi="Arial"/>
          <w:sz w:val="20"/>
          <w:szCs w:val="20"/>
          <w:color w:val="auto"/>
        </w:rPr>
      </w:pPr>
    </w:p>
    <w:p>
      <w:pPr>
        <w:ind w:left="800" w:right="540" w:hanging="419"/>
        <w:spacing w:after="0" w:line="234"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Non-employee directors are prohibited from selling any GM securities or derivatives of GM securities, such as DSUs, while they are members of the Board.</w:t>
      </w:r>
    </w:p>
    <w:p>
      <w:pPr>
        <w:spacing w:after="0" w:line="59" w:lineRule="exact"/>
        <w:rPr>
          <w:rFonts w:ascii="Arial" w:cs="Arial" w:eastAsia="Arial" w:hAnsi="Arial"/>
          <w:sz w:val="20"/>
          <w:szCs w:val="20"/>
          <w:color w:val="auto"/>
        </w:rPr>
      </w:pPr>
    </w:p>
    <w:p>
      <w:pPr>
        <w:ind w:left="800" w:right="540" w:hanging="419"/>
        <w:spacing w:after="0" w:line="234" w:lineRule="auto"/>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Ownership guidelines are reviewed each year to confirm they continue to be effective in aligning the interests of the Board and our shareholders.</w:t>
      </w:r>
    </w:p>
    <w:p>
      <w:pPr>
        <w:spacing w:after="0" w:line="59" w:lineRule="exact"/>
        <w:rPr>
          <w:rFonts w:ascii="Arial" w:cs="Arial" w:eastAsia="Arial" w:hAnsi="Arial"/>
          <w:sz w:val="20"/>
          <w:szCs w:val="20"/>
          <w:color w:val="auto"/>
        </w:rPr>
      </w:pPr>
    </w:p>
    <w:p>
      <w:pPr>
        <w:ind w:left="800" w:hanging="419"/>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of our directors are in compliance with our stock retention requirements.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10 </w:t>
      </w:r>
      <w:r>
        <w:rPr>
          <w:sz w:val="1"/>
          <w:szCs w:val="1"/>
          <w:color w:val="auto"/>
        </w:rPr>
        <w:drawing>
          <wp:inline distT="0" distB="0" distL="0" distR="0">
            <wp:extent cx="6793865" cy="1016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Annual Compensation</w:t>
      </w:r>
    </w:p>
    <w:p>
      <w:pPr>
        <w:sectPr>
          <w:pgSz w:w="11900" w:h="16838" w:orient="portrait"/>
          <w:cols w:equalWidth="0" w:num="1">
            <w:col w:w="11100"/>
          </w:cols>
          <w:pgMar w:left="320" w:top="456" w:right="479" w:bottom="1440" w:gutter="0" w:footer="0" w:header="0"/>
        </w:sectPr>
      </w:pP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auto"/>
        </w:rPr>
        <w:t>The 2019 and 2020 compensation for non-employee directors are described in the table below. We do not pay any other retainers or meeting fees. The Independent Lead Director and Committee Chairs receive additional compensation due to the increased workload and additional responsibilities associated with these positions. In particular, Mr. Solso’s compensation as Independent Lead Director reflects the additional time commitment for this role, which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includes, among other responsibilities, attending all Board Committee meetings, meeting with the Company’s investors, and attending additional meetings with the Company’s senior management, including the CEO. For additional information about the roles and responsibilities of our Independent Lead Director, see “Corporate Governance—Board Leadership Structure and Composition” on page 15 of this Proxy Statement.</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5520" w:type="dxa"/>
            <w:vAlign w:val="bottom"/>
            <w:tcBorders>
              <w:top w:val="single" w:sz="8" w:color="00A1DF"/>
            </w:tcBorders>
          </w:tcPr>
          <w:p>
            <w:pPr>
              <w:spacing w:after="0"/>
              <w:rPr>
                <w:sz w:val="18"/>
                <w:szCs w:val="18"/>
                <w:color w:val="auto"/>
              </w:rPr>
            </w:pPr>
          </w:p>
        </w:tc>
        <w:tc>
          <w:tcPr>
            <w:tcW w:w="580" w:type="dxa"/>
            <w:vAlign w:val="bottom"/>
            <w:tcBorders>
              <w:top w:val="single" w:sz="8" w:color="00A1DF"/>
            </w:tcBorders>
          </w:tcPr>
          <w:p>
            <w:pPr>
              <w:spacing w:after="0"/>
              <w:rPr>
                <w:sz w:val="18"/>
                <w:szCs w:val="18"/>
                <w:color w:val="auto"/>
              </w:rPr>
            </w:pPr>
          </w:p>
        </w:tc>
        <w:tc>
          <w:tcPr>
            <w:tcW w:w="1100" w:type="dxa"/>
            <w:vAlign w:val="bottom"/>
            <w:tcBorders>
              <w:top w:val="single" w:sz="8" w:color="00A1DF"/>
            </w:tcBorders>
          </w:tcPr>
          <w:p>
            <w:pPr>
              <w:spacing w:after="0"/>
              <w:rPr>
                <w:sz w:val="18"/>
                <w:szCs w:val="18"/>
                <w:color w:val="auto"/>
              </w:rPr>
            </w:pPr>
          </w:p>
        </w:tc>
        <w:tc>
          <w:tcPr>
            <w:tcW w:w="480" w:type="dxa"/>
            <w:vAlign w:val="bottom"/>
            <w:tcBorders>
              <w:top w:val="single" w:sz="8" w:color="00A1DF"/>
            </w:tcBorders>
          </w:tcPr>
          <w:p>
            <w:pPr>
              <w:spacing w:after="0"/>
              <w:rPr>
                <w:sz w:val="18"/>
                <w:szCs w:val="18"/>
                <w:color w:val="auto"/>
              </w:rPr>
            </w:pPr>
          </w:p>
        </w:tc>
        <w:tc>
          <w:tcPr>
            <w:tcW w:w="1080" w:type="dxa"/>
            <w:vAlign w:val="bottom"/>
            <w:tcBorders>
              <w:top w:val="single" w:sz="8" w:color="00A1DF"/>
            </w:tcBorders>
          </w:tcPr>
          <w:p>
            <w:pPr>
              <w:jc w:val="right"/>
              <w:ind w:right="262"/>
              <w:spacing w:after="0" w:line="213" w:lineRule="exact"/>
              <w:rPr>
                <w:sz w:val="20"/>
                <w:szCs w:val="20"/>
                <w:color w:val="auto"/>
              </w:rPr>
            </w:pPr>
            <w:r>
              <w:rPr>
                <w:rFonts w:ascii="Arial" w:cs="Arial" w:eastAsia="Arial" w:hAnsi="Arial"/>
                <w:sz w:val="20"/>
                <w:szCs w:val="20"/>
                <w:b w:val="1"/>
                <w:bCs w:val="1"/>
                <w:color w:val="00A1DF"/>
              </w:rPr>
              <w:t>2020</w:t>
            </w:r>
          </w:p>
        </w:tc>
        <w:tc>
          <w:tcPr>
            <w:tcW w:w="500" w:type="dxa"/>
            <w:vAlign w:val="bottom"/>
            <w:tcBorders>
              <w:top w:val="single" w:sz="8" w:color="00A1DF"/>
            </w:tcBorders>
          </w:tcPr>
          <w:p>
            <w:pPr>
              <w:spacing w:after="0"/>
              <w:rPr>
                <w:sz w:val="18"/>
                <w:szCs w:val="18"/>
                <w:color w:val="auto"/>
              </w:rPr>
            </w:pPr>
          </w:p>
        </w:tc>
        <w:tc>
          <w:tcPr>
            <w:tcW w:w="78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2020</w:t>
            </w:r>
          </w:p>
        </w:tc>
      </w:tr>
      <w:tr>
        <w:trPr>
          <w:trHeight w:val="214"/>
        </w:trPr>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262"/>
              <w:spacing w:after="0" w:line="214" w:lineRule="exact"/>
              <w:rPr>
                <w:sz w:val="20"/>
                <w:szCs w:val="20"/>
                <w:color w:val="auto"/>
              </w:rPr>
            </w:pPr>
            <w:r>
              <w:rPr>
                <w:rFonts w:ascii="Arial" w:cs="Arial" w:eastAsia="Arial" w:hAnsi="Arial"/>
                <w:sz w:val="20"/>
                <w:szCs w:val="20"/>
                <w:b w:val="1"/>
                <w:bCs w:val="1"/>
                <w:color w:val="00A1DF"/>
              </w:rPr>
              <w:t>(Pre-</w:t>
            </w:r>
          </w:p>
        </w:tc>
        <w:tc>
          <w:tcPr>
            <w:tcW w:w="500" w:type="dxa"/>
            <w:vAlign w:val="bottom"/>
          </w:tcPr>
          <w:p>
            <w:pPr>
              <w:spacing w:after="0"/>
              <w:rPr>
                <w:sz w:val="18"/>
                <w:szCs w:val="18"/>
                <w:color w:val="auto"/>
              </w:rPr>
            </w:pPr>
          </w:p>
        </w:tc>
        <w:tc>
          <w:tcPr>
            <w:tcW w:w="78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(Post-</w:t>
            </w:r>
          </w:p>
        </w:tc>
      </w:tr>
      <w:tr>
        <w:trPr>
          <w:trHeight w:val="214"/>
        </w:trPr>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262"/>
              <w:spacing w:after="0" w:line="214" w:lineRule="exact"/>
              <w:rPr>
                <w:sz w:val="20"/>
                <w:szCs w:val="20"/>
                <w:color w:val="auto"/>
              </w:rPr>
            </w:pPr>
            <w:r>
              <w:rPr>
                <w:rFonts w:ascii="Arial" w:cs="Arial" w:eastAsia="Arial" w:hAnsi="Arial"/>
                <w:sz w:val="20"/>
                <w:szCs w:val="20"/>
                <w:b w:val="1"/>
                <w:bCs w:val="1"/>
                <w:color w:val="00A1DF"/>
                <w:w w:val="99"/>
              </w:rPr>
              <w:t>COVID-</w:t>
            </w:r>
          </w:p>
        </w:tc>
        <w:tc>
          <w:tcPr>
            <w:tcW w:w="500" w:type="dxa"/>
            <w:vAlign w:val="bottom"/>
          </w:tcPr>
          <w:p>
            <w:pPr>
              <w:spacing w:after="0"/>
              <w:rPr>
                <w:sz w:val="18"/>
                <w:szCs w:val="18"/>
                <w:color w:val="auto"/>
              </w:rPr>
            </w:pPr>
          </w:p>
        </w:tc>
        <w:tc>
          <w:tcPr>
            <w:tcW w:w="78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w w:val="99"/>
              </w:rPr>
              <w:t>COVID-</w:t>
            </w:r>
          </w:p>
        </w:tc>
      </w:tr>
      <w:tr>
        <w:trPr>
          <w:trHeight w:val="255"/>
        </w:trPr>
        <w:tc>
          <w:tcPr>
            <w:tcW w:w="5520" w:type="dxa"/>
            <w:vAlign w:val="bottom"/>
            <w:tcBorders>
              <w:bottom w:val="single" w:sz="8" w:color="00A1DF"/>
            </w:tcBorders>
          </w:tcPr>
          <w:p>
            <w:pPr>
              <w:spacing w:after="0"/>
              <w:rPr>
                <w:sz w:val="20"/>
                <w:szCs w:val="20"/>
                <w:color w:val="auto"/>
              </w:rPr>
            </w:pPr>
            <w:r>
              <w:rPr>
                <w:rFonts w:ascii="Arial" w:cs="Arial" w:eastAsia="Arial" w:hAnsi="Arial"/>
                <w:sz w:val="20"/>
                <w:szCs w:val="20"/>
                <w:b w:val="1"/>
                <w:bCs w:val="1"/>
                <w:color w:val="00A1DF"/>
              </w:rPr>
              <w:t>Compensation Element</w:t>
            </w:r>
          </w:p>
        </w:tc>
        <w:tc>
          <w:tcPr>
            <w:tcW w:w="580" w:type="dxa"/>
            <w:vAlign w:val="bottom"/>
            <w:tcBorders>
              <w:bottom w:val="single" w:sz="8" w:color="00A1DF"/>
            </w:tcBorders>
          </w:tcPr>
          <w:p>
            <w:pPr>
              <w:spacing w:after="0"/>
              <w:rPr>
                <w:sz w:val="22"/>
                <w:szCs w:val="22"/>
                <w:color w:val="auto"/>
              </w:rPr>
            </w:pPr>
          </w:p>
        </w:tc>
        <w:tc>
          <w:tcPr>
            <w:tcW w:w="1100" w:type="dxa"/>
            <w:vAlign w:val="bottom"/>
            <w:tcBorders>
              <w:bottom w:val="single" w:sz="8" w:color="00A1DF"/>
            </w:tcBorders>
          </w:tcPr>
          <w:p>
            <w:pPr>
              <w:jc w:val="right"/>
              <w:ind w:right="282"/>
              <w:spacing w:after="0"/>
              <w:rPr>
                <w:sz w:val="20"/>
                <w:szCs w:val="20"/>
                <w:color w:val="auto"/>
              </w:rPr>
            </w:pPr>
            <w:r>
              <w:rPr>
                <w:rFonts w:ascii="Arial" w:cs="Arial" w:eastAsia="Arial" w:hAnsi="Arial"/>
                <w:sz w:val="20"/>
                <w:szCs w:val="20"/>
                <w:b w:val="1"/>
                <w:bCs w:val="1"/>
                <w:color w:val="00A1DF"/>
              </w:rPr>
              <w:t>2019</w:t>
            </w:r>
          </w:p>
        </w:tc>
        <w:tc>
          <w:tcPr>
            <w:tcW w:w="480" w:type="dxa"/>
            <w:vAlign w:val="bottom"/>
            <w:tcBorders>
              <w:bottom w:val="single" w:sz="8" w:color="00A1DF"/>
            </w:tcBorders>
          </w:tcPr>
          <w:p>
            <w:pPr>
              <w:spacing w:after="0"/>
              <w:rPr>
                <w:sz w:val="22"/>
                <w:szCs w:val="22"/>
                <w:color w:val="auto"/>
              </w:rPr>
            </w:pPr>
          </w:p>
        </w:tc>
        <w:tc>
          <w:tcPr>
            <w:tcW w:w="1080" w:type="dxa"/>
            <w:vAlign w:val="bottom"/>
            <w:tcBorders>
              <w:bottom w:val="single" w:sz="8" w:color="00A1DF"/>
            </w:tcBorders>
          </w:tcPr>
          <w:p>
            <w:pPr>
              <w:jc w:val="right"/>
              <w:ind w:right="262"/>
              <w:spacing w:after="0"/>
              <w:rPr>
                <w:sz w:val="20"/>
                <w:szCs w:val="20"/>
                <w:color w:val="auto"/>
              </w:rPr>
            </w:pPr>
            <w:r>
              <w:rPr>
                <w:rFonts w:ascii="Arial" w:cs="Arial" w:eastAsia="Arial" w:hAnsi="Arial"/>
                <w:sz w:val="20"/>
                <w:szCs w:val="20"/>
                <w:b w:val="1"/>
                <w:bCs w:val="1"/>
                <w:color w:val="00A1DF"/>
              </w:rPr>
              <w:t>19)</w:t>
            </w:r>
          </w:p>
        </w:tc>
        <w:tc>
          <w:tcPr>
            <w:tcW w:w="500" w:type="dxa"/>
            <w:vAlign w:val="bottom"/>
            <w:tcBorders>
              <w:bottom w:val="single" w:sz="8" w:color="00A1DF"/>
            </w:tcBorders>
          </w:tcPr>
          <w:p>
            <w:pPr>
              <w:spacing w:after="0"/>
              <w:rPr>
                <w:sz w:val="22"/>
                <w:szCs w:val="22"/>
                <w:color w:val="auto"/>
              </w:rPr>
            </w:pPr>
          </w:p>
        </w:tc>
        <w:tc>
          <w:tcPr>
            <w:tcW w:w="780" w:type="dxa"/>
            <w:vAlign w:val="bottom"/>
            <w:tcBorders>
              <w:bottom w:val="single" w:sz="8" w:color="00A1DF"/>
            </w:tcBorders>
          </w:tcPr>
          <w:p>
            <w:pPr>
              <w:jc w:val="right"/>
              <w:spacing w:after="0"/>
              <w:rPr>
                <w:sz w:val="20"/>
                <w:szCs w:val="20"/>
                <w:color w:val="auto"/>
              </w:rPr>
            </w:pPr>
            <w:r>
              <w:rPr>
                <w:rFonts w:ascii="Arial" w:cs="Arial" w:eastAsia="Arial" w:hAnsi="Arial"/>
                <w:sz w:val="20"/>
                <w:szCs w:val="20"/>
                <w:b w:val="1"/>
                <w:bCs w:val="1"/>
                <w:color w:val="00A1DF"/>
              </w:rPr>
              <w:t>19)</w:t>
            </w:r>
          </w:p>
        </w:tc>
      </w:tr>
      <w:tr>
        <w:trPr>
          <w:trHeight w:val="292"/>
        </w:trPr>
        <w:tc>
          <w:tcPr>
            <w:tcW w:w="5520" w:type="dxa"/>
            <w:vAlign w:val="bottom"/>
          </w:tcPr>
          <w:p>
            <w:pPr>
              <w:ind w:left="100"/>
              <w:spacing w:after="0"/>
              <w:rPr>
                <w:sz w:val="20"/>
                <w:szCs w:val="20"/>
                <w:color w:val="auto"/>
              </w:rPr>
            </w:pPr>
            <w:r>
              <w:rPr>
                <w:rFonts w:ascii="Arial" w:cs="Arial" w:eastAsia="Arial" w:hAnsi="Arial"/>
                <w:sz w:val="20"/>
                <w:szCs w:val="20"/>
                <w:color w:val="auto"/>
              </w:rPr>
              <w:t>Board Retainer</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82"/>
              <w:spacing w:after="0"/>
              <w:rPr>
                <w:sz w:val="20"/>
                <w:szCs w:val="20"/>
                <w:color w:val="auto"/>
              </w:rPr>
            </w:pPr>
            <w:r>
              <w:rPr>
                <w:rFonts w:ascii="Arial" w:cs="Arial" w:eastAsia="Arial" w:hAnsi="Arial"/>
                <w:sz w:val="20"/>
                <w:szCs w:val="20"/>
                <w:color w:val="auto"/>
                <w:w w:val="96"/>
              </w:rPr>
              <w:t>285,000</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62"/>
              <w:spacing w:after="0"/>
              <w:rPr>
                <w:sz w:val="20"/>
                <w:szCs w:val="20"/>
                <w:color w:val="auto"/>
              </w:rPr>
            </w:pPr>
            <w:r>
              <w:rPr>
                <w:rFonts w:ascii="Arial" w:cs="Arial" w:eastAsia="Arial" w:hAnsi="Arial"/>
                <w:sz w:val="20"/>
                <w:szCs w:val="20"/>
                <w:color w:val="auto"/>
                <w:w w:val="96"/>
              </w:rPr>
              <w:t>305,000</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6"/>
              </w:rPr>
              <w:t>244,000</w:t>
            </w:r>
          </w:p>
        </w:tc>
      </w:tr>
      <w:tr>
        <w:trPr>
          <w:trHeight w:val="62"/>
        </w:trPr>
        <w:tc>
          <w:tcPr>
            <w:tcW w:w="5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92"/>
        </w:trPr>
        <w:tc>
          <w:tcPr>
            <w:tcW w:w="5520" w:type="dxa"/>
            <w:vAlign w:val="bottom"/>
          </w:tcPr>
          <w:p>
            <w:pPr>
              <w:ind w:left="100"/>
              <w:spacing w:after="0"/>
              <w:rPr>
                <w:sz w:val="20"/>
                <w:szCs w:val="20"/>
                <w:color w:val="auto"/>
              </w:rPr>
            </w:pPr>
            <w:r>
              <w:rPr>
                <w:rFonts w:ascii="Arial" w:cs="Arial" w:eastAsia="Arial" w:hAnsi="Arial"/>
                <w:sz w:val="20"/>
                <w:szCs w:val="20"/>
                <w:color w:val="auto"/>
              </w:rPr>
              <w:t>Independent Lead Director Fee</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82"/>
              <w:spacing w:after="0"/>
              <w:rPr>
                <w:sz w:val="20"/>
                <w:szCs w:val="20"/>
                <w:color w:val="auto"/>
              </w:rPr>
            </w:pPr>
            <w:r>
              <w:rPr>
                <w:rFonts w:ascii="Arial" w:cs="Arial" w:eastAsia="Arial" w:hAnsi="Arial"/>
                <w:sz w:val="20"/>
                <w:szCs w:val="20"/>
                <w:color w:val="auto"/>
                <w:w w:val="96"/>
              </w:rPr>
              <w:t>100,000</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62"/>
              <w:spacing w:after="0"/>
              <w:rPr>
                <w:sz w:val="20"/>
                <w:szCs w:val="20"/>
                <w:color w:val="auto"/>
              </w:rPr>
            </w:pPr>
            <w:r>
              <w:rPr>
                <w:rFonts w:ascii="Arial" w:cs="Arial" w:eastAsia="Arial" w:hAnsi="Arial"/>
                <w:sz w:val="20"/>
                <w:szCs w:val="20"/>
                <w:color w:val="auto"/>
                <w:w w:val="96"/>
              </w:rPr>
              <w:t>100,000</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w w:val="96"/>
              </w:rPr>
              <w:t>100,000</w:t>
            </w:r>
          </w:p>
        </w:tc>
      </w:tr>
      <w:tr>
        <w:trPr>
          <w:trHeight w:val="62"/>
        </w:trPr>
        <w:tc>
          <w:tcPr>
            <w:tcW w:w="5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92"/>
        </w:trPr>
        <w:tc>
          <w:tcPr>
            <w:tcW w:w="5520" w:type="dxa"/>
            <w:vAlign w:val="bottom"/>
          </w:tcPr>
          <w:p>
            <w:pPr>
              <w:ind w:left="100"/>
              <w:spacing w:after="0"/>
              <w:rPr>
                <w:sz w:val="20"/>
                <w:szCs w:val="20"/>
                <w:color w:val="auto"/>
              </w:rPr>
            </w:pPr>
            <w:r>
              <w:rPr>
                <w:rFonts w:ascii="Arial" w:cs="Arial" w:eastAsia="Arial" w:hAnsi="Arial"/>
                <w:sz w:val="20"/>
                <w:szCs w:val="20"/>
                <w:color w:val="auto"/>
              </w:rPr>
              <w:t>Audit Committee Chair Fee</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82"/>
              <w:spacing w:after="0"/>
              <w:rPr>
                <w:sz w:val="20"/>
                <w:szCs w:val="20"/>
                <w:color w:val="auto"/>
              </w:rPr>
            </w:pPr>
            <w:r>
              <w:rPr>
                <w:rFonts w:ascii="Arial" w:cs="Arial" w:eastAsia="Arial" w:hAnsi="Arial"/>
                <w:sz w:val="20"/>
                <w:szCs w:val="20"/>
                <w:color w:val="auto"/>
              </w:rPr>
              <w:t>30,000</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62"/>
              <w:spacing w:after="0"/>
              <w:rPr>
                <w:sz w:val="20"/>
                <w:szCs w:val="20"/>
                <w:color w:val="auto"/>
              </w:rPr>
            </w:pPr>
            <w:r>
              <w:rPr>
                <w:rFonts w:ascii="Arial" w:cs="Arial" w:eastAsia="Arial" w:hAnsi="Arial"/>
                <w:sz w:val="20"/>
                <w:szCs w:val="20"/>
                <w:color w:val="auto"/>
              </w:rPr>
              <w:t>30,000</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30,000</w:t>
            </w:r>
          </w:p>
        </w:tc>
      </w:tr>
      <w:tr>
        <w:trPr>
          <w:trHeight w:val="62"/>
        </w:trPr>
        <w:tc>
          <w:tcPr>
            <w:tcW w:w="55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71"/>
        </w:trPr>
        <w:tc>
          <w:tcPr>
            <w:tcW w:w="5520" w:type="dxa"/>
            <w:vAlign w:val="bottom"/>
          </w:tcPr>
          <w:p>
            <w:pPr>
              <w:ind w:left="100"/>
              <w:spacing w:after="0"/>
              <w:rPr>
                <w:sz w:val="20"/>
                <w:szCs w:val="20"/>
                <w:color w:val="auto"/>
              </w:rPr>
            </w:pPr>
            <w:r>
              <w:rPr>
                <w:rFonts w:ascii="Arial" w:cs="Arial" w:eastAsia="Arial" w:hAnsi="Arial"/>
                <w:sz w:val="20"/>
                <w:szCs w:val="20"/>
                <w:color w:val="auto"/>
              </w:rPr>
              <w:t>All Other Committee Chair Fees (excluding the Executive</w:t>
            </w: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5"/>
        </w:trPr>
        <w:tc>
          <w:tcPr>
            <w:tcW w:w="5520" w:type="dxa"/>
            <w:vAlign w:val="bottom"/>
          </w:tcPr>
          <w:p>
            <w:pPr>
              <w:ind w:left="100"/>
              <w:spacing w:after="0"/>
              <w:rPr>
                <w:sz w:val="20"/>
                <w:szCs w:val="20"/>
                <w:color w:val="auto"/>
              </w:rPr>
            </w:pPr>
            <w:r>
              <w:rPr>
                <w:rFonts w:ascii="Arial" w:cs="Arial" w:eastAsia="Arial" w:hAnsi="Arial"/>
                <w:sz w:val="20"/>
                <w:szCs w:val="20"/>
                <w:color w:val="auto"/>
              </w:rPr>
              <w:t>Committee)</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82"/>
              <w:spacing w:after="0"/>
              <w:rPr>
                <w:sz w:val="20"/>
                <w:szCs w:val="20"/>
                <w:color w:val="auto"/>
              </w:rPr>
            </w:pPr>
            <w:r>
              <w:rPr>
                <w:rFonts w:ascii="Arial" w:cs="Arial" w:eastAsia="Arial" w:hAnsi="Arial"/>
                <w:sz w:val="20"/>
                <w:szCs w:val="20"/>
                <w:color w:val="auto"/>
              </w:rPr>
              <w:t>20,000</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62"/>
              <w:spacing w:after="0"/>
              <w:rPr>
                <w:sz w:val="20"/>
                <w:szCs w:val="20"/>
                <w:color w:val="auto"/>
              </w:rPr>
            </w:pPr>
            <w:r>
              <w:rPr>
                <w:rFonts w:ascii="Arial" w:cs="Arial" w:eastAsia="Arial" w:hAnsi="Arial"/>
                <w:sz w:val="20"/>
                <w:szCs w:val="20"/>
                <w:color w:val="auto"/>
              </w:rPr>
              <w:t>20,000</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20,000</w:t>
            </w:r>
          </w:p>
        </w:tc>
      </w:tr>
      <w:tr>
        <w:trPr>
          <w:trHeight w:val="62"/>
        </w:trPr>
        <w:tc>
          <w:tcPr>
            <w:tcW w:w="5520" w:type="dxa"/>
            <w:vAlign w:val="bottom"/>
            <w:tcBorders>
              <w:bottom w:val="single" w:sz="8" w:color="0033A0"/>
            </w:tcBorders>
          </w:tcPr>
          <w:p>
            <w:pPr>
              <w:spacing w:after="0"/>
              <w:rPr>
                <w:sz w:val="5"/>
                <w:szCs w:val="5"/>
                <w:color w:val="auto"/>
              </w:rPr>
            </w:pPr>
          </w:p>
        </w:tc>
        <w:tc>
          <w:tcPr>
            <w:tcW w:w="580" w:type="dxa"/>
            <w:vAlign w:val="bottom"/>
            <w:tcBorders>
              <w:bottom w:val="single" w:sz="8" w:color="0033A0"/>
            </w:tcBorders>
          </w:tcPr>
          <w:p>
            <w:pPr>
              <w:spacing w:after="0"/>
              <w:rPr>
                <w:sz w:val="5"/>
                <w:szCs w:val="5"/>
                <w:color w:val="auto"/>
              </w:rPr>
            </w:pPr>
          </w:p>
        </w:tc>
        <w:tc>
          <w:tcPr>
            <w:tcW w:w="1100" w:type="dxa"/>
            <w:vAlign w:val="bottom"/>
            <w:tcBorders>
              <w:bottom w:val="single" w:sz="8" w:color="0033A0"/>
            </w:tcBorders>
          </w:tcPr>
          <w:p>
            <w:pPr>
              <w:spacing w:after="0"/>
              <w:rPr>
                <w:sz w:val="5"/>
                <w:szCs w:val="5"/>
                <w:color w:val="auto"/>
              </w:rPr>
            </w:pPr>
          </w:p>
        </w:tc>
        <w:tc>
          <w:tcPr>
            <w:tcW w:w="480" w:type="dxa"/>
            <w:vAlign w:val="bottom"/>
            <w:tcBorders>
              <w:bottom w:val="single" w:sz="8" w:color="0033A0"/>
            </w:tcBorders>
          </w:tcPr>
          <w:p>
            <w:pPr>
              <w:spacing w:after="0"/>
              <w:rPr>
                <w:sz w:val="5"/>
                <w:szCs w:val="5"/>
                <w:color w:val="auto"/>
              </w:rPr>
            </w:pPr>
          </w:p>
        </w:tc>
        <w:tc>
          <w:tcPr>
            <w:tcW w:w="1080" w:type="dxa"/>
            <w:vAlign w:val="bottom"/>
            <w:tcBorders>
              <w:bottom w:val="single" w:sz="8" w:color="0033A0"/>
            </w:tcBorders>
          </w:tcPr>
          <w:p>
            <w:pPr>
              <w:spacing w:after="0"/>
              <w:rPr>
                <w:sz w:val="5"/>
                <w:szCs w:val="5"/>
                <w:color w:val="auto"/>
              </w:rPr>
            </w:pPr>
          </w:p>
        </w:tc>
        <w:tc>
          <w:tcPr>
            <w:tcW w:w="500" w:type="dxa"/>
            <w:vAlign w:val="bottom"/>
            <w:tcBorders>
              <w:bottom w:val="single" w:sz="8" w:color="0033A0"/>
            </w:tcBorders>
          </w:tcPr>
          <w:p>
            <w:pPr>
              <w:spacing w:after="0"/>
              <w:rPr>
                <w:sz w:val="5"/>
                <w:szCs w:val="5"/>
                <w:color w:val="auto"/>
              </w:rPr>
            </w:pPr>
          </w:p>
        </w:tc>
        <w:tc>
          <w:tcPr>
            <w:tcW w:w="780" w:type="dxa"/>
            <w:vAlign w:val="bottom"/>
            <w:tcBorders>
              <w:bottom w:val="single" w:sz="8" w:color="0033A0"/>
            </w:tcBorders>
          </w:tcPr>
          <w:p>
            <w:pPr>
              <w:spacing w:after="0"/>
              <w:rPr>
                <w:sz w:val="5"/>
                <w:szCs w:val="5"/>
                <w:color w:val="auto"/>
              </w:rPr>
            </w:pPr>
          </w:p>
        </w:tc>
      </w:tr>
    </w:tbl>
    <w:p>
      <w:pPr>
        <w:spacing w:after="0" w:line="197" w:lineRule="exact"/>
        <w:rPr>
          <w:sz w:val="20"/>
          <w:szCs w:val="20"/>
          <w:color w:val="auto"/>
        </w:rPr>
      </w:pPr>
    </w:p>
    <w:p>
      <w:pPr>
        <w:sectPr>
          <w:pgSz w:w="11900" w:h="16838" w:orient="portrait"/>
          <w:cols w:equalWidth="0" w:num="1">
            <w:col w:w="11100"/>
          </w:cols>
          <w:pgMar w:left="320" w:top="456" w:right="479" w:bottom="1440" w:gutter="0" w:footer="0" w:header="0"/>
          <w:type w:val="continuous"/>
        </w:sectPr>
      </w:pPr>
    </w:p>
    <w:p>
      <w:pPr>
        <w:jc w:val="both"/>
        <w:ind w:left="160"/>
        <w:spacing w:after="0" w:line="227" w:lineRule="auto"/>
        <w:rPr>
          <w:sz w:val="20"/>
          <w:szCs w:val="20"/>
          <w:color w:val="auto"/>
        </w:rPr>
      </w:pPr>
      <w:r>
        <w:rPr>
          <w:rFonts w:ascii="Arial" w:cs="Arial" w:eastAsia="Arial" w:hAnsi="Arial"/>
          <w:sz w:val="20"/>
          <w:szCs w:val="20"/>
          <w:color w:val="auto"/>
        </w:rPr>
        <w:t>Non-employee directors are required to defer at least 50% of their annual Board retainer into DSUs under the General Motors Company Deferred Compensation Plan for Non-Employee Directors (the “Director Compensation Plan”). Directors may elect to defer all or half of their remaining Board retainer or</w:t>
      </w:r>
    </w:p>
    <w:p>
      <w:pPr>
        <w:spacing w:after="0" w:line="20" w:lineRule="exact"/>
        <w:rPr>
          <w:sz w:val="20"/>
          <w:szCs w:val="20"/>
          <w:color w:val="auto"/>
        </w:rPr>
      </w:pPr>
      <w:r>
        <w:rPr>
          <w:sz w:val="20"/>
          <w:szCs w:val="20"/>
          <w:color w:val="auto"/>
        </w:rPr>
        <w:br w:type="column"/>
      </w:r>
    </w:p>
    <w:p>
      <w:pPr>
        <w:jc w:val="both"/>
        <w:ind w:right="20"/>
        <w:spacing w:after="0" w:line="227" w:lineRule="auto"/>
        <w:rPr>
          <w:sz w:val="20"/>
          <w:szCs w:val="20"/>
          <w:color w:val="auto"/>
        </w:rPr>
      </w:pPr>
      <w:r>
        <w:rPr>
          <w:rFonts w:ascii="Arial" w:cs="Arial" w:eastAsia="Arial" w:hAnsi="Arial"/>
          <w:sz w:val="20"/>
          <w:szCs w:val="20"/>
          <w:color w:val="auto"/>
        </w:rPr>
        <w:t>amounts payable (if any) for serving as a Committee Chair or Independent Lead Director into additional DSUs. The fees for a director who joins or leaves the Board, or assumes additional responsibilities during the year, are prorated for his or her period of service.</w:t>
      </w:r>
    </w:p>
    <w:p>
      <w:pPr>
        <w:spacing w:after="0" w:line="417"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How Deferred Share Units Work</w:t>
      </w:r>
    </w:p>
    <w:p>
      <w:pPr>
        <w:spacing w:after="0" w:line="203"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2044065</wp:posOffset>
            </wp:positionV>
            <wp:extent cx="6793865" cy="101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449580</wp:posOffset>
            </wp:positionV>
            <wp:extent cx="6793865" cy="16389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3865" cy="163893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11</w:t>
      </w:r>
    </w:p>
    <w:p>
      <w:pPr>
        <w:sectPr>
          <w:pgSz w:w="11900" w:h="16838" w:orient="portrait"/>
          <w:cols w:equalWidth="0" w:num="1">
            <w:col w:w="11100"/>
          </w:cols>
          <w:pgMar w:left="320" w:top="456"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Other Compensation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 provide certain additional benefits to non-employee directors.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60" w:type="dxa"/>
            <w:vAlign w:val="bottom"/>
            <w:tcBorders>
              <w:top w:val="single" w:sz="8" w:color="00A1DF"/>
              <w:bottom w:val="single" w:sz="8" w:color="00A1DF"/>
            </w:tcBorders>
          </w:tcPr>
          <w:p>
            <w:pPr>
              <w:spacing w:after="0"/>
              <w:rPr>
                <w:sz w:val="20"/>
                <w:szCs w:val="20"/>
                <w:color w:val="auto"/>
              </w:rPr>
            </w:pPr>
            <w:r>
              <w:rPr>
                <w:rFonts w:ascii="Arial" w:cs="Arial" w:eastAsia="Arial" w:hAnsi="Arial"/>
                <w:sz w:val="20"/>
                <w:szCs w:val="20"/>
                <w:b w:val="1"/>
                <w:bCs w:val="1"/>
                <w:color w:val="00A1DF"/>
                <w:w w:val="94"/>
              </w:rPr>
              <w:t>Type</w:t>
            </w:r>
          </w:p>
        </w:tc>
        <w:tc>
          <w:tcPr>
            <w:tcW w:w="2000" w:type="dxa"/>
            <w:vAlign w:val="bottom"/>
            <w:tcBorders>
              <w:top w:val="single" w:sz="8" w:color="00A1DF"/>
              <w:bottom w:val="single" w:sz="8" w:color="00A1DF"/>
            </w:tcBorders>
          </w:tcPr>
          <w:p>
            <w:pPr>
              <w:spacing w:after="0"/>
              <w:rPr>
                <w:sz w:val="20"/>
                <w:szCs w:val="20"/>
                <w:color w:val="auto"/>
              </w:rPr>
            </w:pPr>
          </w:p>
        </w:tc>
        <w:tc>
          <w:tcPr>
            <w:tcW w:w="8460" w:type="dxa"/>
            <w:vAlign w:val="bottom"/>
            <w:tcBorders>
              <w:top w:val="single" w:sz="8" w:color="00A1DF"/>
              <w:bottom w:val="single" w:sz="8" w:color="00A1DF"/>
            </w:tcBorders>
          </w:tcPr>
          <w:p>
            <w:pPr>
              <w:ind w:left="280"/>
              <w:spacing w:after="0"/>
              <w:rPr>
                <w:sz w:val="20"/>
                <w:szCs w:val="20"/>
                <w:color w:val="auto"/>
              </w:rPr>
            </w:pPr>
            <w:r>
              <w:rPr>
                <w:rFonts w:ascii="Arial" w:cs="Arial" w:eastAsia="Arial" w:hAnsi="Arial"/>
                <w:sz w:val="20"/>
                <w:szCs w:val="20"/>
                <w:b w:val="1"/>
                <w:bCs w:val="1"/>
                <w:color w:val="00A1DF"/>
              </w:rPr>
              <w:t>Purpose</w:t>
            </w:r>
          </w:p>
        </w:tc>
      </w:tr>
      <w:tr>
        <w:trPr>
          <w:trHeight w:val="271"/>
        </w:trPr>
        <w:tc>
          <w:tcPr>
            <w:tcW w:w="460" w:type="dxa"/>
            <w:vAlign w:val="bottom"/>
          </w:tcPr>
          <w:p>
            <w:pPr>
              <w:ind w:left="120"/>
              <w:spacing w:after="0"/>
              <w:rPr>
                <w:sz w:val="20"/>
                <w:szCs w:val="20"/>
                <w:color w:val="auto"/>
              </w:rPr>
            </w:pPr>
            <w:r>
              <w:rPr>
                <w:rFonts w:ascii="Arial" w:cs="Arial" w:eastAsia="Arial" w:hAnsi="Arial"/>
                <w:sz w:val="20"/>
                <w:szCs w:val="20"/>
                <w:color w:val="00A1DF"/>
              </w:rPr>
              <w:t>u</w:t>
            </w:r>
          </w:p>
        </w:tc>
        <w:tc>
          <w:tcPr>
            <w:tcW w:w="2000" w:type="dxa"/>
            <w:vAlign w:val="bottom"/>
          </w:tcPr>
          <w:p>
            <w:pPr>
              <w:spacing w:after="0"/>
              <w:rPr>
                <w:sz w:val="20"/>
                <w:szCs w:val="20"/>
                <w:color w:val="auto"/>
              </w:rPr>
            </w:pPr>
            <w:r>
              <w:rPr>
                <w:rFonts w:ascii="Arial" w:cs="Arial" w:eastAsia="Arial" w:hAnsi="Arial"/>
                <w:sz w:val="20"/>
                <w:szCs w:val="20"/>
                <w:color w:val="auto"/>
              </w:rPr>
              <w:t>Company Vehicles</w:t>
            </w:r>
          </w:p>
        </w:tc>
        <w:tc>
          <w:tcPr>
            <w:tcW w:w="8460" w:type="dxa"/>
            <w:vAlign w:val="bottom"/>
          </w:tcPr>
          <w:p>
            <w:pPr>
              <w:ind w:left="280"/>
              <w:spacing w:after="0"/>
              <w:rPr>
                <w:sz w:val="20"/>
                <w:szCs w:val="20"/>
                <w:color w:val="auto"/>
              </w:rPr>
            </w:pPr>
            <w:r>
              <w:rPr>
                <w:rFonts w:ascii="Arial" w:cs="Arial" w:eastAsia="Arial" w:hAnsi="Arial"/>
                <w:sz w:val="20"/>
                <w:szCs w:val="20"/>
                <w:color w:val="auto"/>
              </w:rPr>
              <w:t>We provide directors with the use of Company vehicles to provide feedback on our products</w:t>
            </w:r>
          </w:p>
        </w:tc>
      </w:tr>
      <w:tr>
        <w:trPr>
          <w:trHeight w:val="214"/>
        </w:trPr>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460" w:type="dxa"/>
            <w:vAlign w:val="bottom"/>
          </w:tcPr>
          <w:p>
            <w:pPr>
              <w:ind w:left="280"/>
              <w:spacing w:after="0" w:line="214" w:lineRule="exact"/>
              <w:rPr>
                <w:sz w:val="20"/>
                <w:szCs w:val="20"/>
                <w:color w:val="auto"/>
              </w:rPr>
            </w:pPr>
            <w:r>
              <w:rPr>
                <w:rFonts w:ascii="Arial" w:cs="Arial" w:eastAsia="Arial" w:hAnsi="Arial"/>
                <w:sz w:val="20"/>
                <w:szCs w:val="20"/>
                <w:color w:val="auto"/>
                <w:w w:val="99"/>
              </w:rPr>
              <w:t>as well as enhance the public image of our vehicles. Retired directors also receive the use of</w:t>
            </w:r>
          </w:p>
        </w:tc>
      </w:tr>
      <w:tr>
        <w:trPr>
          <w:trHeight w:val="214"/>
        </w:trPr>
        <w:tc>
          <w:tcPr>
            <w:tcW w:w="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460" w:type="dxa"/>
            <w:vAlign w:val="bottom"/>
          </w:tcPr>
          <w:p>
            <w:pPr>
              <w:ind w:left="280"/>
              <w:spacing w:after="0" w:line="214" w:lineRule="exact"/>
              <w:rPr>
                <w:sz w:val="20"/>
                <w:szCs w:val="20"/>
                <w:color w:val="auto"/>
              </w:rPr>
            </w:pPr>
            <w:r>
              <w:rPr>
                <w:rFonts w:ascii="Arial" w:cs="Arial" w:eastAsia="Arial" w:hAnsi="Arial"/>
                <w:sz w:val="20"/>
                <w:szCs w:val="20"/>
                <w:color w:val="auto"/>
                <w:w w:val="99"/>
              </w:rPr>
              <w:t>a Company vehicle for a period of time. Participants are charged with imputed income based</w:t>
            </w:r>
          </w:p>
        </w:tc>
      </w:tr>
      <w:tr>
        <w:trPr>
          <w:trHeight w:val="235"/>
        </w:trPr>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60" w:type="dxa"/>
            <w:vAlign w:val="bottom"/>
          </w:tcPr>
          <w:p>
            <w:pPr>
              <w:ind w:left="280"/>
              <w:spacing w:after="0"/>
              <w:rPr>
                <w:sz w:val="20"/>
                <w:szCs w:val="20"/>
                <w:color w:val="auto"/>
              </w:rPr>
            </w:pPr>
            <w:r>
              <w:rPr>
                <w:rFonts w:ascii="Arial" w:cs="Arial" w:eastAsia="Arial" w:hAnsi="Arial"/>
                <w:sz w:val="20"/>
                <w:szCs w:val="20"/>
                <w:color w:val="auto"/>
              </w:rPr>
              <w:t>on the lease value of the vehicles and are responsible for associated taxes.</w:t>
            </w:r>
          </w:p>
        </w:tc>
      </w:tr>
      <w:tr>
        <w:trPr>
          <w:trHeight w:val="62"/>
        </w:trPr>
        <w:tc>
          <w:tcPr>
            <w:tcW w:w="4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8460" w:type="dxa"/>
            <w:vAlign w:val="bottom"/>
            <w:tcBorders>
              <w:bottom w:val="single" w:sz="8" w:color="auto"/>
            </w:tcBorders>
          </w:tcPr>
          <w:p>
            <w:pPr>
              <w:spacing w:after="0"/>
              <w:rPr>
                <w:sz w:val="5"/>
                <w:szCs w:val="5"/>
                <w:color w:val="auto"/>
              </w:rPr>
            </w:pPr>
          </w:p>
        </w:tc>
      </w:tr>
      <w:tr>
        <w:trPr>
          <w:trHeight w:val="284"/>
        </w:trPr>
        <w:tc>
          <w:tcPr>
            <w:tcW w:w="460" w:type="dxa"/>
            <w:vAlign w:val="bottom"/>
          </w:tcPr>
          <w:p>
            <w:pPr>
              <w:ind w:left="120"/>
              <w:spacing w:after="0"/>
              <w:rPr>
                <w:sz w:val="20"/>
                <w:szCs w:val="20"/>
                <w:color w:val="auto"/>
              </w:rPr>
            </w:pPr>
            <w:r>
              <w:rPr>
                <w:rFonts w:ascii="Arial" w:cs="Arial" w:eastAsia="Arial" w:hAnsi="Arial"/>
                <w:sz w:val="20"/>
                <w:szCs w:val="20"/>
                <w:color w:val="00A1DF"/>
              </w:rPr>
              <w:t>u</w:t>
            </w:r>
          </w:p>
        </w:tc>
        <w:tc>
          <w:tcPr>
            <w:tcW w:w="2000" w:type="dxa"/>
            <w:vAlign w:val="bottom"/>
          </w:tcPr>
          <w:p>
            <w:pPr>
              <w:spacing w:after="0"/>
              <w:rPr>
                <w:sz w:val="20"/>
                <w:szCs w:val="20"/>
                <w:color w:val="auto"/>
              </w:rPr>
            </w:pPr>
            <w:r>
              <w:rPr>
                <w:rFonts w:ascii="Arial" w:cs="Arial" w:eastAsia="Arial" w:hAnsi="Arial"/>
                <w:sz w:val="20"/>
                <w:szCs w:val="20"/>
                <w:color w:val="auto"/>
              </w:rPr>
              <w:t>Personal Accident</w:t>
            </w:r>
          </w:p>
        </w:tc>
        <w:tc>
          <w:tcPr>
            <w:tcW w:w="8460" w:type="dxa"/>
            <w:vAlign w:val="bottom"/>
          </w:tcPr>
          <w:p>
            <w:pPr>
              <w:ind w:left="280"/>
              <w:spacing w:after="0"/>
              <w:rPr>
                <w:sz w:val="20"/>
                <w:szCs w:val="20"/>
                <w:color w:val="auto"/>
              </w:rPr>
            </w:pPr>
            <w:r>
              <w:rPr>
                <w:rFonts w:ascii="Arial" w:cs="Arial" w:eastAsia="Arial" w:hAnsi="Arial"/>
                <w:sz w:val="20"/>
                <w:szCs w:val="20"/>
                <w:color w:val="auto"/>
              </w:rPr>
              <w:t>We provide PAI coverage in the event of accidental death or dismemberment. Directors are</w:t>
            </w:r>
          </w:p>
        </w:tc>
      </w:tr>
      <w:tr>
        <w:trPr>
          <w:trHeight w:val="236"/>
        </w:trPr>
        <w:tc>
          <w:tcPr>
            <w:tcW w:w="460" w:type="dxa"/>
            <w:vAlign w:val="bottom"/>
          </w:tcPr>
          <w:p>
            <w:pPr>
              <w:spacing w:after="0"/>
              <w:rPr>
                <w:sz w:val="20"/>
                <w:szCs w:val="20"/>
                <w:color w:val="auto"/>
              </w:rPr>
            </w:pPr>
          </w:p>
        </w:tc>
        <w:tc>
          <w:tcPr>
            <w:tcW w:w="2000" w:type="dxa"/>
            <w:vAlign w:val="bottom"/>
          </w:tcPr>
          <w:p>
            <w:pPr>
              <w:ind w:left="40"/>
              <w:spacing w:after="0"/>
              <w:rPr>
                <w:sz w:val="20"/>
                <w:szCs w:val="20"/>
                <w:color w:val="auto"/>
              </w:rPr>
            </w:pPr>
            <w:r>
              <w:rPr>
                <w:rFonts w:ascii="Arial" w:cs="Arial" w:eastAsia="Arial" w:hAnsi="Arial"/>
                <w:sz w:val="20"/>
                <w:szCs w:val="20"/>
                <w:color w:val="auto"/>
              </w:rPr>
              <w:t>Insurance (“PAI”)</w:t>
            </w:r>
            <w:r>
              <w:rPr>
                <w:rFonts w:ascii="Arial" w:cs="Arial" w:eastAsia="Arial" w:hAnsi="Arial"/>
                <w:sz w:val="16"/>
                <w:szCs w:val="16"/>
                <w:color w:val="auto"/>
              </w:rPr>
              <w:t>(1)</w:t>
            </w:r>
          </w:p>
        </w:tc>
        <w:tc>
          <w:tcPr>
            <w:tcW w:w="8460" w:type="dxa"/>
            <w:vAlign w:val="bottom"/>
          </w:tcPr>
          <w:p>
            <w:pPr>
              <w:ind w:left="280"/>
              <w:spacing w:after="0"/>
              <w:rPr>
                <w:sz w:val="20"/>
                <w:szCs w:val="20"/>
                <w:color w:val="auto"/>
              </w:rPr>
            </w:pPr>
            <w:r>
              <w:rPr>
                <w:rFonts w:ascii="Arial" w:cs="Arial" w:eastAsia="Arial" w:hAnsi="Arial"/>
                <w:sz w:val="20"/>
                <w:szCs w:val="20"/>
                <w:color w:val="auto"/>
              </w:rPr>
              <w:t>responsible for associated taxes on the imputed income from the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jc w:val="both"/>
        <w:ind w:left="600" w:hanging="433"/>
        <w:spacing w:after="0" w:line="246" w:lineRule="auto"/>
        <w:tabs>
          <w:tab w:leader="none" w:pos="6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Ms. Barra, our sole employee director, does not receive additional compensation for her Board service other than the PAI benefit described above, the value of which is reported for Ms. Barra in the Summary Compensation Table on page 62 of this Proxy Statement.</w:t>
      </w:r>
    </w:p>
    <w:p>
      <w:pPr>
        <w:spacing w:after="0" w:line="195"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Non-employee directors are not eligible to participate in any of the savings or retirement programs for our employees. Other than as described in this section, there are no separate benefit plans for directors.</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2019 Non-Employee Director Compensation Table</w:t>
      </w:r>
    </w:p>
    <w:p>
      <w:pPr>
        <w:spacing w:after="0" w:line="15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This table shows the compensation that each non-employee director received for his or her 2019 Board and Committee service.</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780" w:type="dxa"/>
            <w:vAlign w:val="bottom"/>
            <w:tcBorders>
              <w:top w:val="single" w:sz="8" w:color="00A1DF"/>
            </w:tcBorders>
          </w:tcPr>
          <w:p>
            <w:pPr>
              <w:spacing w:after="0"/>
              <w:rPr>
                <w:sz w:val="18"/>
                <w:szCs w:val="18"/>
                <w:color w:val="auto"/>
              </w:rPr>
            </w:pPr>
          </w:p>
        </w:tc>
        <w:tc>
          <w:tcPr>
            <w:tcW w:w="2580" w:type="dxa"/>
            <w:vAlign w:val="bottom"/>
            <w:tcBorders>
              <w:top w:val="single" w:sz="8" w:color="00A1DF"/>
            </w:tcBorders>
            <w:gridSpan w:val="2"/>
          </w:tcPr>
          <w:p>
            <w:pPr>
              <w:jc w:val="right"/>
              <w:ind w:right="242"/>
              <w:spacing w:after="0" w:line="213" w:lineRule="exact"/>
              <w:rPr>
                <w:sz w:val="20"/>
                <w:szCs w:val="20"/>
                <w:color w:val="auto"/>
              </w:rPr>
            </w:pPr>
            <w:r>
              <w:rPr>
                <w:rFonts w:ascii="Arial" w:cs="Arial" w:eastAsia="Arial" w:hAnsi="Arial"/>
                <w:sz w:val="20"/>
                <w:szCs w:val="20"/>
                <w:b w:val="1"/>
                <w:bCs w:val="1"/>
                <w:color w:val="00A1DF"/>
              </w:rPr>
              <w:t>Fees Earned or</w:t>
            </w:r>
          </w:p>
        </w:tc>
        <w:tc>
          <w:tcPr>
            <w:tcW w:w="1100" w:type="dxa"/>
            <w:vAlign w:val="bottom"/>
            <w:tcBorders>
              <w:top w:val="single" w:sz="8" w:color="00A1DF"/>
            </w:tcBorders>
          </w:tcPr>
          <w:p>
            <w:pPr>
              <w:spacing w:after="0"/>
              <w:rPr>
                <w:sz w:val="18"/>
                <w:szCs w:val="18"/>
                <w:color w:val="auto"/>
              </w:rPr>
            </w:pPr>
          </w:p>
        </w:tc>
        <w:tc>
          <w:tcPr>
            <w:tcW w:w="1060" w:type="dxa"/>
            <w:vAlign w:val="bottom"/>
            <w:tcBorders>
              <w:top w:val="single" w:sz="8" w:color="00A1DF"/>
            </w:tcBorders>
          </w:tcPr>
          <w:p>
            <w:pPr>
              <w:spacing w:after="0"/>
              <w:rPr>
                <w:sz w:val="18"/>
                <w:szCs w:val="18"/>
                <w:color w:val="auto"/>
              </w:rPr>
            </w:pPr>
          </w:p>
        </w:tc>
        <w:tc>
          <w:tcPr>
            <w:tcW w:w="2160" w:type="dxa"/>
            <w:vAlign w:val="bottom"/>
            <w:tcBorders>
              <w:top w:val="single" w:sz="8" w:color="00A1DF"/>
            </w:tcBorders>
            <w:gridSpan w:val="2"/>
          </w:tcPr>
          <w:p>
            <w:pPr>
              <w:jc w:val="right"/>
              <w:ind w:right="182"/>
              <w:spacing w:after="0" w:line="213" w:lineRule="exact"/>
              <w:rPr>
                <w:sz w:val="20"/>
                <w:szCs w:val="20"/>
                <w:color w:val="auto"/>
              </w:rPr>
            </w:pPr>
            <w:r>
              <w:rPr>
                <w:rFonts w:ascii="Arial" w:cs="Arial" w:eastAsia="Arial" w:hAnsi="Arial"/>
                <w:sz w:val="20"/>
                <w:szCs w:val="20"/>
                <w:b w:val="1"/>
                <w:bCs w:val="1"/>
                <w:color w:val="00A1DF"/>
              </w:rPr>
              <w:t>All Other</w:t>
            </w:r>
          </w:p>
        </w:tc>
        <w:tc>
          <w:tcPr>
            <w:tcW w:w="1240" w:type="dxa"/>
            <w:vAlign w:val="bottom"/>
            <w:tcBorders>
              <w:top w:val="single" w:sz="8" w:color="00A1DF"/>
            </w:tcBorders>
          </w:tcPr>
          <w:p>
            <w:pPr>
              <w:spacing w:after="0"/>
              <w:rPr>
                <w:sz w:val="18"/>
                <w:szCs w:val="18"/>
                <w:color w:val="auto"/>
              </w:rPr>
            </w:pPr>
          </w:p>
        </w:tc>
      </w:tr>
      <w:tr>
        <w:trPr>
          <w:trHeight w:val="214"/>
        </w:trPr>
        <w:tc>
          <w:tcPr>
            <w:tcW w:w="2780" w:type="dxa"/>
            <w:vAlign w:val="bottom"/>
          </w:tcPr>
          <w:p>
            <w:pPr>
              <w:spacing w:after="0"/>
              <w:rPr>
                <w:sz w:val="18"/>
                <w:szCs w:val="18"/>
                <w:color w:val="auto"/>
              </w:rPr>
            </w:pPr>
          </w:p>
        </w:tc>
        <w:tc>
          <w:tcPr>
            <w:tcW w:w="2580" w:type="dxa"/>
            <w:vAlign w:val="bottom"/>
            <w:gridSpan w:val="2"/>
          </w:tcPr>
          <w:p>
            <w:pPr>
              <w:jc w:val="right"/>
              <w:ind w:right="242"/>
              <w:spacing w:after="0" w:line="214" w:lineRule="exact"/>
              <w:rPr>
                <w:sz w:val="20"/>
                <w:szCs w:val="20"/>
                <w:color w:val="auto"/>
              </w:rPr>
            </w:pPr>
            <w:r>
              <w:rPr>
                <w:rFonts w:ascii="Arial" w:cs="Arial" w:eastAsia="Arial" w:hAnsi="Arial"/>
                <w:sz w:val="20"/>
                <w:szCs w:val="20"/>
                <w:b w:val="1"/>
                <w:bCs w:val="1"/>
                <w:color w:val="00A1DF"/>
              </w:rPr>
              <w:t>Paid in Cash</w:t>
            </w:r>
            <w:r>
              <w:rPr>
                <w:rFonts w:ascii="Arial" w:cs="Arial" w:eastAsia="Arial" w:hAnsi="Arial"/>
                <w:sz w:val="16"/>
                <w:szCs w:val="16"/>
                <w:b w:val="1"/>
                <w:bCs w:val="1"/>
                <w:color w:val="00A1DF"/>
              </w:rPr>
              <w:t>(1)</w:t>
            </w:r>
          </w:p>
        </w:tc>
        <w:tc>
          <w:tcPr>
            <w:tcW w:w="2160" w:type="dxa"/>
            <w:vAlign w:val="bottom"/>
            <w:gridSpan w:val="2"/>
          </w:tcPr>
          <w:p>
            <w:pPr>
              <w:jc w:val="center"/>
              <w:spacing w:after="0" w:line="214" w:lineRule="exact"/>
              <w:rPr>
                <w:sz w:val="20"/>
                <w:szCs w:val="20"/>
                <w:color w:val="auto"/>
              </w:rPr>
            </w:pPr>
            <w:r>
              <w:rPr>
                <w:rFonts w:ascii="Arial" w:cs="Arial" w:eastAsia="Arial" w:hAnsi="Arial"/>
                <w:sz w:val="20"/>
                <w:szCs w:val="20"/>
                <w:b w:val="1"/>
                <w:bCs w:val="1"/>
                <w:color w:val="00A1DF"/>
                <w:w w:val="98"/>
              </w:rPr>
              <w:t>Stock Awards</w:t>
            </w:r>
            <w:r>
              <w:rPr>
                <w:rFonts w:ascii="Arial" w:cs="Arial" w:eastAsia="Arial" w:hAnsi="Arial"/>
                <w:sz w:val="16"/>
                <w:szCs w:val="16"/>
                <w:b w:val="1"/>
                <w:bCs w:val="1"/>
                <w:color w:val="00A1DF"/>
                <w:w w:val="98"/>
              </w:rPr>
              <w:t>(2)</w:t>
            </w:r>
          </w:p>
        </w:tc>
        <w:tc>
          <w:tcPr>
            <w:tcW w:w="2160" w:type="dxa"/>
            <w:vAlign w:val="bottom"/>
            <w:gridSpan w:val="2"/>
          </w:tcPr>
          <w:p>
            <w:pPr>
              <w:jc w:val="right"/>
              <w:ind w:right="182"/>
              <w:spacing w:after="0" w:line="214" w:lineRule="exact"/>
              <w:rPr>
                <w:sz w:val="20"/>
                <w:szCs w:val="20"/>
                <w:color w:val="auto"/>
              </w:rPr>
            </w:pPr>
            <w:r>
              <w:rPr>
                <w:rFonts w:ascii="Arial" w:cs="Arial" w:eastAsia="Arial" w:hAnsi="Arial"/>
                <w:sz w:val="20"/>
                <w:szCs w:val="20"/>
                <w:b w:val="1"/>
                <w:bCs w:val="1"/>
                <w:color w:val="00A1DF"/>
              </w:rPr>
              <w:t>Compensation</w:t>
            </w:r>
            <w:r>
              <w:rPr>
                <w:rFonts w:ascii="Arial" w:cs="Arial" w:eastAsia="Arial" w:hAnsi="Arial"/>
                <w:sz w:val="16"/>
                <w:szCs w:val="16"/>
                <w:b w:val="1"/>
                <w:bCs w:val="1"/>
                <w:color w:val="00A1DF"/>
              </w:rPr>
              <w:t>(3)</w:t>
            </w:r>
          </w:p>
        </w:tc>
        <w:tc>
          <w:tcPr>
            <w:tcW w:w="124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A1DF"/>
              </w:rPr>
              <w:t>Total</w:t>
            </w:r>
          </w:p>
        </w:tc>
      </w:tr>
      <w:tr>
        <w:trPr>
          <w:trHeight w:val="273"/>
        </w:trPr>
        <w:tc>
          <w:tcPr>
            <w:tcW w:w="2780" w:type="dxa"/>
            <w:vAlign w:val="bottom"/>
          </w:tcPr>
          <w:p>
            <w:pPr>
              <w:spacing w:after="0"/>
              <w:rPr>
                <w:sz w:val="20"/>
                <w:szCs w:val="20"/>
                <w:color w:val="auto"/>
              </w:rPr>
            </w:pPr>
            <w:r>
              <w:rPr>
                <w:rFonts w:ascii="Arial" w:cs="Arial" w:eastAsia="Arial" w:hAnsi="Arial"/>
                <w:sz w:val="20"/>
                <w:szCs w:val="20"/>
                <w:b w:val="1"/>
                <w:bCs w:val="1"/>
                <w:color w:val="00A1DF"/>
              </w:rPr>
              <w:t>Director</w:t>
            </w:r>
          </w:p>
        </w:tc>
        <w:tc>
          <w:tcPr>
            <w:tcW w:w="1540" w:type="dxa"/>
            <w:vAlign w:val="bottom"/>
          </w:tcPr>
          <w:p>
            <w:pPr>
              <w:spacing w:after="0"/>
              <w:rPr>
                <w:sz w:val="23"/>
                <w:szCs w:val="23"/>
                <w:color w:val="auto"/>
              </w:rPr>
            </w:pPr>
          </w:p>
        </w:tc>
        <w:tc>
          <w:tcPr>
            <w:tcW w:w="1040" w:type="dxa"/>
            <w:vAlign w:val="bottom"/>
          </w:tcPr>
          <w:p>
            <w:pPr>
              <w:jc w:val="right"/>
              <w:ind w:right="242"/>
              <w:spacing w:after="0"/>
              <w:rPr>
                <w:sz w:val="20"/>
                <w:szCs w:val="20"/>
                <w:color w:val="auto"/>
              </w:rPr>
            </w:pPr>
            <w:r>
              <w:rPr>
                <w:rFonts w:ascii="Arial" w:cs="Arial" w:eastAsia="Arial" w:hAnsi="Arial"/>
                <w:sz w:val="20"/>
                <w:szCs w:val="20"/>
                <w:b w:val="1"/>
                <w:bCs w:val="1"/>
                <w:color w:val="00A1DF"/>
              </w:rPr>
              <w:t>($)</w:t>
            </w:r>
          </w:p>
        </w:tc>
        <w:tc>
          <w:tcPr>
            <w:tcW w:w="1100" w:type="dxa"/>
            <w:vAlign w:val="bottom"/>
          </w:tcPr>
          <w:p>
            <w:pPr>
              <w:spacing w:after="0"/>
              <w:rPr>
                <w:sz w:val="23"/>
                <w:szCs w:val="23"/>
                <w:color w:val="auto"/>
              </w:rPr>
            </w:pPr>
          </w:p>
        </w:tc>
        <w:tc>
          <w:tcPr>
            <w:tcW w:w="1060" w:type="dxa"/>
            <w:vAlign w:val="bottom"/>
          </w:tcPr>
          <w:p>
            <w:pPr>
              <w:jc w:val="right"/>
              <w:ind w:right="242"/>
              <w:spacing w:after="0"/>
              <w:rPr>
                <w:sz w:val="20"/>
                <w:szCs w:val="20"/>
                <w:color w:val="auto"/>
              </w:rPr>
            </w:pPr>
            <w:r>
              <w:rPr>
                <w:rFonts w:ascii="Arial" w:cs="Arial" w:eastAsia="Arial" w:hAnsi="Arial"/>
                <w:sz w:val="20"/>
                <w:szCs w:val="20"/>
                <w:b w:val="1"/>
                <w:bCs w:val="1"/>
                <w:color w:val="00A1DF"/>
              </w:rPr>
              <w:t>($)</w:t>
            </w:r>
          </w:p>
        </w:tc>
        <w:tc>
          <w:tcPr>
            <w:tcW w:w="1280" w:type="dxa"/>
            <w:vAlign w:val="bottom"/>
          </w:tcPr>
          <w:p>
            <w:pPr>
              <w:spacing w:after="0"/>
              <w:rPr>
                <w:sz w:val="23"/>
                <w:szCs w:val="23"/>
                <w:color w:val="auto"/>
              </w:rPr>
            </w:pPr>
          </w:p>
        </w:tc>
        <w:tc>
          <w:tcPr>
            <w:tcW w:w="880" w:type="dxa"/>
            <w:vAlign w:val="bottom"/>
          </w:tcPr>
          <w:p>
            <w:pPr>
              <w:jc w:val="right"/>
              <w:ind w:right="182"/>
              <w:spacing w:after="0"/>
              <w:rPr>
                <w:sz w:val="20"/>
                <w:szCs w:val="20"/>
                <w:color w:val="auto"/>
              </w:rPr>
            </w:pPr>
            <w:r>
              <w:rPr>
                <w:rFonts w:ascii="Arial" w:cs="Arial" w:eastAsia="Arial" w:hAnsi="Arial"/>
                <w:sz w:val="20"/>
                <w:szCs w:val="20"/>
                <w:b w:val="1"/>
                <w:bCs w:val="1"/>
                <w:color w:val="00A1DF"/>
              </w:rPr>
              <w:t>($)</w:t>
            </w:r>
          </w:p>
        </w:tc>
        <w:tc>
          <w:tcPr>
            <w:tcW w:w="1240" w:type="dxa"/>
            <w:vAlign w:val="bottom"/>
          </w:tcPr>
          <w:p>
            <w:pPr>
              <w:jc w:val="right"/>
              <w:ind w:right="62"/>
              <w:spacing w:after="0"/>
              <w:rPr>
                <w:sz w:val="20"/>
                <w:szCs w:val="20"/>
                <w:color w:val="auto"/>
              </w:rPr>
            </w:pPr>
            <w:r>
              <w:rPr>
                <w:rFonts w:ascii="Arial" w:cs="Arial" w:eastAsia="Arial" w:hAnsi="Arial"/>
                <w:sz w:val="20"/>
                <w:szCs w:val="20"/>
                <w:b w:val="1"/>
                <w:bCs w:val="1"/>
                <w:color w:val="00A1DF"/>
              </w:rPr>
              <w:t>($)</w:t>
            </w:r>
          </w:p>
        </w:tc>
      </w:tr>
      <w:tr>
        <w:trPr>
          <w:trHeight w:val="62"/>
        </w:trPr>
        <w:tc>
          <w:tcPr>
            <w:tcW w:w="2780" w:type="dxa"/>
            <w:vAlign w:val="bottom"/>
            <w:tcBorders>
              <w:bottom w:val="single" w:sz="8" w:color="00A1DF"/>
            </w:tcBorders>
          </w:tcPr>
          <w:p>
            <w:pPr>
              <w:spacing w:after="0"/>
              <w:rPr>
                <w:sz w:val="5"/>
                <w:szCs w:val="5"/>
                <w:color w:val="auto"/>
              </w:rPr>
            </w:pPr>
          </w:p>
        </w:tc>
        <w:tc>
          <w:tcPr>
            <w:tcW w:w="1540" w:type="dxa"/>
            <w:vAlign w:val="bottom"/>
            <w:tcBorders>
              <w:bottom w:val="single" w:sz="8" w:color="00A1DF"/>
            </w:tcBorders>
          </w:tcPr>
          <w:p>
            <w:pPr>
              <w:spacing w:after="0"/>
              <w:rPr>
                <w:sz w:val="5"/>
                <w:szCs w:val="5"/>
                <w:color w:val="auto"/>
              </w:rPr>
            </w:pPr>
          </w:p>
        </w:tc>
        <w:tc>
          <w:tcPr>
            <w:tcW w:w="1040" w:type="dxa"/>
            <w:vAlign w:val="bottom"/>
            <w:tcBorders>
              <w:bottom w:val="single" w:sz="8" w:color="00A1DF"/>
            </w:tcBorders>
          </w:tcPr>
          <w:p>
            <w:pPr>
              <w:spacing w:after="0"/>
              <w:rPr>
                <w:sz w:val="5"/>
                <w:szCs w:val="5"/>
                <w:color w:val="auto"/>
              </w:rPr>
            </w:pPr>
          </w:p>
        </w:tc>
        <w:tc>
          <w:tcPr>
            <w:tcW w:w="1100" w:type="dxa"/>
            <w:vAlign w:val="bottom"/>
            <w:tcBorders>
              <w:bottom w:val="single" w:sz="8" w:color="00A1DF"/>
            </w:tcBorders>
          </w:tcPr>
          <w:p>
            <w:pPr>
              <w:spacing w:after="0"/>
              <w:rPr>
                <w:sz w:val="5"/>
                <w:szCs w:val="5"/>
                <w:color w:val="auto"/>
              </w:rPr>
            </w:pPr>
          </w:p>
        </w:tc>
        <w:tc>
          <w:tcPr>
            <w:tcW w:w="1060" w:type="dxa"/>
            <w:vAlign w:val="bottom"/>
            <w:tcBorders>
              <w:bottom w:val="single" w:sz="8" w:color="00A1DF"/>
            </w:tcBorders>
          </w:tcPr>
          <w:p>
            <w:pPr>
              <w:spacing w:after="0"/>
              <w:rPr>
                <w:sz w:val="5"/>
                <w:szCs w:val="5"/>
                <w:color w:val="auto"/>
              </w:rPr>
            </w:pPr>
          </w:p>
        </w:tc>
        <w:tc>
          <w:tcPr>
            <w:tcW w:w="1280" w:type="dxa"/>
            <w:vAlign w:val="bottom"/>
            <w:tcBorders>
              <w:bottom w:val="single" w:sz="8" w:color="00A1DF"/>
            </w:tcBorders>
          </w:tcPr>
          <w:p>
            <w:pPr>
              <w:spacing w:after="0"/>
              <w:rPr>
                <w:sz w:val="5"/>
                <w:szCs w:val="5"/>
                <w:color w:val="auto"/>
              </w:rPr>
            </w:pPr>
          </w:p>
        </w:tc>
        <w:tc>
          <w:tcPr>
            <w:tcW w:w="880" w:type="dxa"/>
            <w:vAlign w:val="bottom"/>
            <w:tcBorders>
              <w:bottom w:val="single" w:sz="8" w:color="00A1DF"/>
            </w:tcBorders>
          </w:tcPr>
          <w:p>
            <w:pPr>
              <w:spacing w:after="0"/>
              <w:rPr>
                <w:sz w:val="5"/>
                <w:szCs w:val="5"/>
                <w:color w:val="auto"/>
              </w:rPr>
            </w:pPr>
          </w:p>
        </w:tc>
        <w:tc>
          <w:tcPr>
            <w:tcW w:w="1240" w:type="dxa"/>
            <w:vAlign w:val="bottom"/>
            <w:tcBorders>
              <w:bottom w:val="single" w:sz="8" w:color="00A1DF"/>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 xml:space="preserve">Wesley G. Bush </w:t>
            </w:r>
            <w:r>
              <w:rPr>
                <w:rFonts w:ascii="Arial" w:cs="Arial" w:eastAsia="Arial" w:hAnsi="Arial"/>
                <w:sz w:val="16"/>
                <w:szCs w:val="16"/>
                <w:color w:val="auto"/>
              </w:rPr>
              <w:t>(4)</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130,625</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127,185</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rPr>
              <w:t>7,825</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$265,635</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Linda R. Gooden</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162,500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16,344</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$317,704</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 xml:space="preserve">Joseph Jimenez </w:t>
            </w:r>
            <w:r>
              <w:rPr>
                <w:rFonts w:ascii="Arial" w:cs="Arial" w:eastAsia="Arial" w:hAnsi="Arial"/>
                <w:sz w:val="16"/>
                <w:szCs w:val="16"/>
                <w:color w:val="auto"/>
              </w:rPr>
              <w:t>(5)</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157,500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36,740</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$333,100</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Jane L. Mendillo</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142,500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11,323</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$292,683</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Judith A. Miscik</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142,500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25,469</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$306,829</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 xml:space="preserve">Michael G. Mullen </w:t>
            </w:r>
            <w:r>
              <w:rPr>
                <w:rFonts w:ascii="Arial" w:cs="Arial" w:eastAsia="Arial" w:hAnsi="Arial"/>
                <w:sz w:val="16"/>
                <w:szCs w:val="16"/>
                <w:color w:val="auto"/>
              </w:rPr>
              <w:t>(6)</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rPr>
              <w:t>76,250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rPr>
              <w:t>69,430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39,370</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$185,050</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 xml:space="preserve">James J. Mulva </w:t>
            </w:r>
            <w:r>
              <w:rPr>
                <w:rFonts w:ascii="Arial" w:cs="Arial" w:eastAsia="Arial" w:hAnsi="Arial"/>
                <w:sz w:val="16"/>
                <w:szCs w:val="16"/>
                <w:color w:val="auto"/>
              </w:rPr>
              <w:t>(7)</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rPr>
              <w:t>76,250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rPr>
              <w:t>69,430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30,787</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$176,467</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Patricia F. Russo</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162,500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15,740</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$317,100</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Thomas M. Schoewe</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172,500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45,948</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$357,308</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Theodore M. Solso</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242,500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21,990</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$403,350</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Carol M. Stephenson</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162,500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15,384</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$316,744</w:t>
            </w:r>
          </w:p>
        </w:tc>
      </w:tr>
      <w:tr>
        <w:trPr>
          <w:trHeight w:val="62"/>
        </w:trPr>
        <w:tc>
          <w:tcPr>
            <w:tcW w:w="27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92"/>
        </w:trPr>
        <w:tc>
          <w:tcPr>
            <w:tcW w:w="2780" w:type="dxa"/>
            <w:vAlign w:val="bottom"/>
          </w:tcPr>
          <w:p>
            <w:pPr>
              <w:ind w:left="100"/>
              <w:spacing w:after="0"/>
              <w:rPr>
                <w:sz w:val="20"/>
                <w:szCs w:val="20"/>
                <w:color w:val="auto"/>
              </w:rPr>
            </w:pPr>
            <w:r>
              <w:rPr>
                <w:rFonts w:ascii="Arial" w:cs="Arial" w:eastAsia="Arial" w:hAnsi="Arial"/>
                <w:sz w:val="20"/>
                <w:szCs w:val="20"/>
                <w:color w:val="auto"/>
              </w:rPr>
              <w:t>Devin N. Wenig</w:t>
            </w:r>
          </w:p>
        </w:tc>
        <w:tc>
          <w:tcPr>
            <w:tcW w:w="15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42"/>
              <w:spacing w:after="0"/>
              <w:rPr>
                <w:sz w:val="20"/>
                <w:szCs w:val="20"/>
                <w:color w:val="auto"/>
              </w:rPr>
            </w:pPr>
            <w:r>
              <w:rPr>
                <w:rFonts w:ascii="Arial" w:cs="Arial" w:eastAsia="Arial" w:hAnsi="Arial"/>
                <w:sz w:val="20"/>
                <w:szCs w:val="20"/>
                <w:color w:val="auto"/>
                <w:w w:val="94"/>
              </w:rPr>
              <w:t>142,500</w:t>
            </w:r>
          </w:p>
        </w:tc>
        <w:tc>
          <w:tcPr>
            <w:tcW w:w="1100" w:type="dxa"/>
            <w:vAlign w:val="bottom"/>
          </w:tcPr>
          <w:p>
            <w:pPr>
              <w:jc w:val="center"/>
              <w:ind w:left="90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42"/>
              <w:spacing w:after="0"/>
              <w:rPr>
                <w:sz w:val="20"/>
                <w:szCs w:val="20"/>
                <w:color w:val="auto"/>
              </w:rPr>
            </w:pPr>
            <w:r>
              <w:rPr>
                <w:rFonts w:ascii="Arial" w:cs="Arial" w:eastAsia="Arial" w:hAnsi="Arial"/>
                <w:sz w:val="20"/>
                <w:szCs w:val="20"/>
                <w:color w:val="auto"/>
                <w:w w:val="96"/>
              </w:rPr>
              <w:t>138,860</w:t>
            </w: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182"/>
              <w:spacing w:after="0"/>
              <w:rPr>
                <w:sz w:val="20"/>
                <w:szCs w:val="20"/>
                <w:color w:val="auto"/>
              </w:rPr>
            </w:pPr>
            <w:r>
              <w:rPr>
                <w:rFonts w:ascii="Arial" w:cs="Arial" w:eastAsia="Arial" w:hAnsi="Arial"/>
                <w:sz w:val="20"/>
                <w:szCs w:val="20"/>
                <w:color w:val="auto"/>
                <w:w w:val="94"/>
              </w:rPr>
              <w:t>35,948</w:t>
            </w:r>
          </w:p>
        </w:tc>
        <w:tc>
          <w:tcPr>
            <w:tcW w:w="1240" w:type="dxa"/>
            <w:vAlign w:val="bottom"/>
          </w:tcPr>
          <w:p>
            <w:pPr>
              <w:jc w:val="right"/>
              <w:ind w:right="62"/>
              <w:spacing w:after="0"/>
              <w:rPr>
                <w:sz w:val="20"/>
                <w:szCs w:val="20"/>
                <w:color w:val="auto"/>
              </w:rPr>
            </w:pPr>
            <w:r>
              <w:rPr>
                <w:rFonts w:ascii="Arial" w:cs="Arial" w:eastAsia="Arial" w:hAnsi="Arial"/>
                <w:sz w:val="20"/>
                <w:szCs w:val="20"/>
                <w:color w:val="auto"/>
              </w:rPr>
              <w:t>$317,308</w:t>
            </w:r>
          </w:p>
        </w:tc>
      </w:tr>
      <w:tr>
        <w:trPr>
          <w:trHeight w:val="62"/>
        </w:trPr>
        <w:tc>
          <w:tcPr>
            <w:tcW w:w="2780" w:type="dxa"/>
            <w:vAlign w:val="bottom"/>
            <w:tcBorders>
              <w:bottom w:val="single" w:sz="8" w:color="0033A0"/>
            </w:tcBorders>
          </w:tcPr>
          <w:p>
            <w:pPr>
              <w:spacing w:after="0"/>
              <w:rPr>
                <w:sz w:val="5"/>
                <w:szCs w:val="5"/>
                <w:color w:val="auto"/>
              </w:rPr>
            </w:pPr>
          </w:p>
        </w:tc>
        <w:tc>
          <w:tcPr>
            <w:tcW w:w="1540" w:type="dxa"/>
            <w:vAlign w:val="bottom"/>
            <w:tcBorders>
              <w:bottom w:val="single" w:sz="8" w:color="0033A0"/>
            </w:tcBorders>
          </w:tcPr>
          <w:p>
            <w:pPr>
              <w:spacing w:after="0"/>
              <w:rPr>
                <w:sz w:val="5"/>
                <w:szCs w:val="5"/>
                <w:color w:val="auto"/>
              </w:rPr>
            </w:pPr>
          </w:p>
        </w:tc>
        <w:tc>
          <w:tcPr>
            <w:tcW w:w="1040" w:type="dxa"/>
            <w:vAlign w:val="bottom"/>
            <w:tcBorders>
              <w:bottom w:val="single" w:sz="8" w:color="0033A0"/>
            </w:tcBorders>
          </w:tcPr>
          <w:p>
            <w:pPr>
              <w:spacing w:after="0"/>
              <w:rPr>
                <w:sz w:val="5"/>
                <w:szCs w:val="5"/>
                <w:color w:val="auto"/>
              </w:rPr>
            </w:pPr>
          </w:p>
        </w:tc>
        <w:tc>
          <w:tcPr>
            <w:tcW w:w="1100" w:type="dxa"/>
            <w:vAlign w:val="bottom"/>
            <w:tcBorders>
              <w:bottom w:val="single" w:sz="8" w:color="0033A0"/>
            </w:tcBorders>
          </w:tcPr>
          <w:p>
            <w:pPr>
              <w:spacing w:after="0"/>
              <w:rPr>
                <w:sz w:val="5"/>
                <w:szCs w:val="5"/>
                <w:color w:val="auto"/>
              </w:rPr>
            </w:pPr>
          </w:p>
        </w:tc>
        <w:tc>
          <w:tcPr>
            <w:tcW w:w="1060" w:type="dxa"/>
            <w:vAlign w:val="bottom"/>
            <w:tcBorders>
              <w:bottom w:val="single" w:sz="8" w:color="0033A0"/>
            </w:tcBorders>
          </w:tcPr>
          <w:p>
            <w:pPr>
              <w:spacing w:after="0"/>
              <w:rPr>
                <w:sz w:val="5"/>
                <w:szCs w:val="5"/>
                <w:color w:val="auto"/>
              </w:rPr>
            </w:pPr>
          </w:p>
        </w:tc>
        <w:tc>
          <w:tcPr>
            <w:tcW w:w="1280" w:type="dxa"/>
            <w:vAlign w:val="bottom"/>
            <w:tcBorders>
              <w:bottom w:val="single" w:sz="8" w:color="0033A0"/>
            </w:tcBorders>
          </w:tcPr>
          <w:p>
            <w:pPr>
              <w:spacing w:after="0"/>
              <w:rPr>
                <w:sz w:val="5"/>
                <w:szCs w:val="5"/>
                <w:color w:val="auto"/>
              </w:rPr>
            </w:pPr>
          </w:p>
        </w:tc>
        <w:tc>
          <w:tcPr>
            <w:tcW w:w="880" w:type="dxa"/>
            <w:vAlign w:val="bottom"/>
            <w:tcBorders>
              <w:bottom w:val="single" w:sz="8" w:color="0033A0"/>
            </w:tcBorders>
          </w:tcPr>
          <w:p>
            <w:pPr>
              <w:spacing w:after="0"/>
              <w:rPr>
                <w:sz w:val="5"/>
                <w:szCs w:val="5"/>
                <w:color w:val="auto"/>
              </w:rPr>
            </w:pPr>
          </w:p>
        </w:tc>
        <w:tc>
          <w:tcPr>
            <w:tcW w:w="1240" w:type="dxa"/>
            <w:vAlign w:val="bottom"/>
            <w:tcBorders>
              <w:bottom w:val="single" w:sz="8" w:color="0033A0"/>
            </w:tcBorders>
          </w:tcPr>
          <w:p>
            <w:pPr>
              <w:spacing w:after="0"/>
              <w:rPr>
                <w:sz w:val="5"/>
                <w:szCs w:val="5"/>
                <w:color w:val="auto"/>
              </w:rPr>
            </w:pPr>
          </w:p>
        </w:tc>
      </w:tr>
    </w:tbl>
    <w:p>
      <w:pPr>
        <w:spacing w:after="0" w:line="102" w:lineRule="exact"/>
        <w:rPr>
          <w:sz w:val="20"/>
          <w:szCs w:val="20"/>
          <w:color w:val="auto"/>
        </w:rPr>
      </w:pPr>
    </w:p>
    <w:p>
      <w:pPr>
        <w:jc w:val="both"/>
        <w:ind w:left="600" w:hanging="433"/>
        <w:spacing w:after="0" w:line="239" w:lineRule="auto"/>
        <w:tabs>
          <w:tab w:leader="none" w:pos="6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This column reflects director compensation eligible to be paid in cash, which consists of 50% of the annual Board retainer ($142,500) and any applicable Committee Chair or Independent Lead Director fees. Each of the following directors elected to receive DSUs in lieu of such amounts eligible to be paid in cash in the following amounts: Mr. Bush—$130,625; Mr. Jimenez —$157,500; Ms. Mendillo— $142,500; Admiral Mullen—$76,250; Mr. Mulva—$76,250; Ms. Russo—$91,250; Mr. Solso—$242,500; Ms. Stephenson—$81,250; and Mr. Wenig—$142,500.</w:t>
      </w:r>
    </w:p>
    <w:p>
      <w:pPr>
        <w:sectPr>
          <w:pgSz w:w="11900" w:h="16838" w:orient="portrait"/>
          <w:cols w:equalWidth="0" w:num="1">
            <w:col w:w="11080"/>
          </w:cols>
          <w:pgMar w:left="320" w:top="456" w:right="499" w:bottom="1440" w:gutter="0" w:footer="0" w:header="0"/>
        </w:sectPr>
      </w:pPr>
    </w:p>
    <w:p>
      <w:pPr>
        <w:spacing w:after="0" w:line="12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12 </w:t>
      </w:r>
      <w:r>
        <w:rPr>
          <w:sz w:val="1"/>
          <w:szCs w:val="1"/>
          <w:color w:val="auto"/>
        </w:rPr>
        <w:drawing>
          <wp:inline distT="0" distB="0" distL="0" distR="0">
            <wp:extent cx="6793865" cy="1016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jc w:val="both"/>
        <w:ind w:left="600" w:right="20" w:hanging="433"/>
        <w:spacing w:after="0" w:line="242" w:lineRule="auto"/>
        <w:tabs>
          <w:tab w:leader="none" w:pos="6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Reflects aggregate grant date fair value of DSUs granted in 2019, which does not include any cash fees that directors voluntarily elected to receive as DSUs. Grant date fair value is calculated by multiplying the number of DSUs granted by the closing price of GM common stock on December 31, 2019, which was $36.60. The holders of DSUs also receive dividend equivalents, which are reinvested in additional DSUs based on the market price of the common stock on the date the dividends are paid.</w:t>
      </w:r>
    </w:p>
    <w:p>
      <w:pPr>
        <w:spacing w:after="0" w:line="47" w:lineRule="exact"/>
        <w:rPr>
          <w:rFonts w:ascii="Arial" w:cs="Arial" w:eastAsia="Arial" w:hAnsi="Arial"/>
          <w:sz w:val="18"/>
          <w:szCs w:val="18"/>
          <w:i w:val="1"/>
          <w:iCs w:val="1"/>
          <w:color w:val="auto"/>
        </w:rPr>
      </w:pPr>
    </w:p>
    <w:p>
      <w:pPr>
        <w:ind w:left="600" w:hanging="433"/>
        <w:spacing w:after="0"/>
        <w:tabs>
          <w:tab w:leader="none" w:pos="6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table provides more information on the type and amount of benefits included in the All Other Compensation column.</w:t>
      </w:r>
    </w:p>
    <w:p>
      <w:pPr>
        <w:sectPr>
          <w:pgSz w:w="11900" w:h="16838" w:orient="portrait"/>
          <w:cols w:equalWidth="0" w:num="1">
            <w:col w:w="11100"/>
          </w:cols>
          <w:pgMar w:left="320" w:top="456" w:right="479" w:bottom="1440" w:gutter="0" w:footer="0" w:header="0"/>
        </w:sectPr>
      </w:pP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720" w:type="dxa"/>
            <w:vAlign w:val="bottom"/>
            <w:tcBorders>
              <w:top w:val="single" w:sz="8" w:color="00A1DF"/>
            </w:tcBorders>
          </w:tcPr>
          <w:p>
            <w:pPr>
              <w:spacing w:after="0"/>
              <w:rPr>
                <w:sz w:val="18"/>
                <w:szCs w:val="18"/>
                <w:color w:val="auto"/>
              </w:rPr>
            </w:pPr>
          </w:p>
        </w:tc>
        <w:tc>
          <w:tcPr>
            <w:tcW w:w="1560" w:type="dxa"/>
            <w:vAlign w:val="bottom"/>
            <w:tcBorders>
              <w:top w:val="single" w:sz="8" w:color="00A1DF"/>
            </w:tcBorders>
            <w:gridSpan w:val="2"/>
          </w:tcPr>
          <w:p>
            <w:pPr>
              <w:jc w:val="right"/>
              <w:ind w:right="22"/>
              <w:spacing w:after="0" w:line="213" w:lineRule="exact"/>
              <w:rPr>
                <w:sz w:val="20"/>
                <w:szCs w:val="20"/>
                <w:color w:val="auto"/>
              </w:rPr>
            </w:pPr>
            <w:r>
              <w:rPr>
                <w:rFonts w:ascii="Arial" w:cs="Arial" w:eastAsia="Arial" w:hAnsi="Arial"/>
                <w:sz w:val="20"/>
                <w:szCs w:val="20"/>
                <w:b w:val="1"/>
                <w:bCs w:val="1"/>
                <w:color w:val="00A1DF"/>
              </w:rPr>
              <w:t>Company</w:t>
            </w:r>
          </w:p>
        </w:tc>
        <w:tc>
          <w:tcPr>
            <w:tcW w:w="760" w:type="dxa"/>
            <w:vAlign w:val="bottom"/>
            <w:tcBorders>
              <w:top w:val="single" w:sz="8" w:color="00A1DF"/>
            </w:tcBorders>
          </w:tcPr>
          <w:p>
            <w:pPr>
              <w:spacing w:after="0"/>
              <w:rPr>
                <w:sz w:val="18"/>
                <w:szCs w:val="18"/>
                <w:color w:val="auto"/>
              </w:rPr>
            </w:pPr>
          </w:p>
        </w:tc>
        <w:tc>
          <w:tcPr>
            <w:tcW w:w="220" w:type="dxa"/>
            <w:vAlign w:val="bottom"/>
            <w:tcBorders>
              <w:top w:val="single" w:sz="8" w:color="00A1DF"/>
            </w:tcBorders>
          </w:tcPr>
          <w:p>
            <w:pPr>
              <w:spacing w:after="0"/>
              <w:rPr>
                <w:sz w:val="18"/>
                <w:szCs w:val="18"/>
                <w:color w:val="auto"/>
              </w:rPr>
            </w:pPr>
          </w:p>
        </w:tc>
        <w:tc>
          <w:tcPr>
            <w:tcW w:w="700" w:type="dxa"/>
            <w:vAlign w:val="bottom"/>
            <w:tcBorders>
              <w:top w:val="single" w:sz="8" w:color="00A1DF"/>
            </w:tcBorders>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1560" w:type="dxa"/>
            <w:vAlign w:val="bottom"/>
            <w:gridSpan w:val="2"/>
          </w:tcPr>
          <w:p>
            <w:pPr>
              <w:jc w:val="right"/>
              <w:ind w:right="22"/>
              <w:spacing w:after="0" w:line="214" w:lineRule="exact"/>
              <w:rPr>
                <w:sz w:val="20"/>
                <w:szCs w:val="20"/>
                <w:color w:val="auto"/>
              </w:rPr>
            </w:pPr>
            <w:r>
              <w:rPr>
                <w:rFonts w:ascii="Arial" w:cs="Arial" w:eastAsia="Arial" w:hAnsi="Arial"/>
                <w:sz w:val="20"/>
                <w:szCs w:val="20"/>
                <w:b w:val="1"/>
                <w:bCs w:val="1"/>
                <w:color w:val="00A1DF"/>
              </w:rPr>
              <w:t>Vehicle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1560" w:type="dxa"/>
            <w:vAlign w:val="bottom"/>
            <w:gridSpan w:val="2"/>
          </w:tcPr>
          <w:p>
            <w:pPr>
              <w:jc w:val="right"/>
              <w:ind w:right="22"/>
              <w:spacing w:after="0" w:line="214" w:lineRule="exact"/>
              <w:rPr>
                <w:sz w:val="20"/>
                <w:szCs w:val="20"/>
                <w:color w:val="auto"/>
              </w:rPr>
            </w:pPr>
            <w:r>
              <w:rPr>
                <w:rFonts w:ascii="Arial" w:cs="Arial" w:eastAsia="Arial" w:hAnsi="Arial"/>
                <w:sz w:val="20"/>
                <w:szCs w:val="20"/>
                <w:b w:val="1"/>
                <w:bCs w:val="1"/>
                <w:color w:val="00A1DF"/>
              </w:rPr>
              <w:t>Program</w:t>
            </w:r>
          </w:p>
        </w:tc>
        <w:tc>
          <w:tcPr>
            <w:tcW w:w="76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Other</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3"/>
        </w:trPr>
        <w:tc>
          <w:tcPr>
            <w:tcW w:w="1720" w:type="dxa"/>
            <w:vAlign w:val="bottom"/>
          </w:tcPr>
          <w:p>
            <w:pPr>
              <w:spacing w:after="0"/>
              <w:rPr>
                <w:sz w:val="20"/>
                <w:szCs w:val="20"/>
                <w:color w:val="auto"/>
              </w:rPr>
            </w:pPr>
            <w:r>
              <w:rPr>
                <w:rFonts w:ascii="Arial" w:cs="Arial" w:eastAsia="Arial" w:hAnsi="Arial"/>
                <w:sz w:val="20"/>
                <w:szCs w:val="20"/>
                <w:b w:val="1"/>
                <w:bCs w:val="1"/>
                <w:color w:val="00A1DF"/>
              </w:rPr>
              <w:t>Director</w:t>
            </w:r>
          </w:p>
        </w:tc>
        <w:tc>
          <w:tcPr>
            <w:tcW w:w="840" w:type="dxa"/>
            <w:vAlign w:val="bottom"/>
          </w:tcPr>
          <w:p>
            <w:pPr>
              <w:spacing w:after="0"/>
              <w:rPr>
                <w:sz w:val="23"/>
                <w:szCs w:val="23"/>
                <w:color w:val="auto"/>
              </w:rPr>
            </w:pPr>
          </w:p>
        </w:tc>
        <w:tc>
          <w:tcPr>
            <w:tcW w:w="720" w:type="dxa"/>
            <w:vAlign w:val="bottom"/>
          </w:tcPr>
          <w:p>
            <w:pPr>
              <w:jc w:val="right"/>
              <w:ind w:right="22"/>
              <w:spacing w:after="0"/>
              <w:rPr>
                <w:sz w:val="20"/>
                <w:szCs w:val="20"/>
                <w:color w:val="auto"/>
              </w:rPr>
            </w:pPr>
            <w:r>
              <w:rPr>
                <w:rFonts w:ascii="Arial" w:cs="Arial" w:eastAsia="Arial" w:hAnsi="Arial"/>
                <w:sz w:val="20"/>
                <w:szCs w:val="20"/>
                <w:b w:val="1"/>
                <w:bCs w:val="1"/>
                <w:color w:val="00A1DF"/>
              </w:rPr>
              <w:t>(a)</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00A1DF"/>
              </w:rPr>
              <w:t>(b)</w:t>
            </w:r>
          </w:p>
        </w:tc>
        <w:tc>
          <w:tcPr>
            <w:tcW w:w="220" w:type="dxa"/>
            <w:vAlign w:val="bottom"/>
          </w:tcPr>
          <w:p>
            <w:pPr>
              <w:spacing w:after="0"/>
              <w:rPr>
                <w:sz w:val="23"/>
                <w:szCs w:val="23"/>
                <w:color w:val="auto"/>
              </w:rPr>
            </w:pPr>
          </w:p>
        </w:tc>
        <w:tc>
          <w:tcPr>
            <w:tcW w:w="700" w:type="dxa"/>
            <w:vAlign w:val="bottom"/>
          </w:tcPr>
          <w:p>
            <w:pPr>
              <w:jc w:val="right"/>
              <w:ind w:right="2"/>
              <w:spacing w:after="0"/>
              <w:rPr>
                <w:sz w:val="20"/>
                <w:szCs w:val="20"/>
                <w:color w:val="auto"/>
              </w:rPr>
            </w:pPr>
            <w:r>
              <w:rPr>
                <w:rFonts w:ascii="Arial" w:cs="Arial" w:eastAsia="Arial" w:hAnsi="Arial"/>
                <w:sz w:val="20"/>
                <w:szCs w:val="20"/>
                <w:b w:val="1"/>
                <w:bCs w:val="1"/>
                <w:color w:val="00A1DF"/>
              </w:rPr>
              <w:t>Total</w:t>
            </w:r>
          </w:p>
        </w:tc>
      </w:tr>
      <w:tr>
        <w:trPr>
          <w:trHeight w:val="62"/>
        </w:trPr>
        <w:tc>
          <w:tcPr>
            <w:tcW w:w="1720" w:type="dxa"/>
            <w:vAlign w:val="bottom"/>
            <w:tcBorders>
              <w:bottom w:val="single" w:sz="8" w:color="00A1DF"/>
            </w:tcBorders>
          </w:tcPr>
          <w:p>
            <w:pPr>
              <w:spacing w:after="0"/>
              <w:rPr>
                <w:sz w:val="5"/>
                <w:szCs w:val="5"/>
                <w:color w:val="auto"/>
              </w:rPr>
            </w:pPr>
          </w:p>
        </w:tc>
        <w:tc>
          <w:tcPr>
            <w:tcW w:w="840" w:type="dxa"/>
            <w:vAlign w:val="bottom"/>
            <w:tcBorders>
              <w:bottom w:val="single" w:sz="8" w:color="00A1DF"/>
            </w:tcBorders>
          </w:tcPr>
          <w:p>
            <w:pPr>
              <w:spacing w:after="0"/>
              <w:rPr>
                <w:sz w:val="5"/>
                <w:szCs w:val="5"/>
                <w:color w:val="auto"/>
              </w:rPr>
            </w:pPr>
          </w:p>
        </w:tc>
        <w:tc>
          <w:tcPr>
            <w:tcW w:w="720" w:type="dxa"/>
            <w:vAlign w:val="bottom"/>
            <w:tcBorders>
              <w:bottom w:val="single" w:sz="8" w:color="00A1DF"/>
            </w:tcBorders>
          </w:tcPr>
          <w:p>
            <w:pPr>
              <w:spacing w:after="0"/>
              <w:rPr>
                <w:sz w:val="5"/>
                <w:szCs w:val="5"/>
                <w:color w:val="auto"/>
              </w:rPr>
            </w:pPr>
          </w:p>
        </w:tc>
        <w:tc>
          <w:tcPr>
            <w:tcW w:w="760" w:type="dxa"/>
            <w:vAlign w:val="bottom"/>
            <w:tcBorders>
              <w:bottom w:val="single" w:sz="8" w:color="00A1DF"/>
            </w:tcBorders>
          </w:tcPr>
          <w:p>
            <w:pPr>
              <w:spacing w:after="0"/>
              <w:rPr>
                <w:sz w:val="5"/>
                <w:szCs w:val="5"/>
                <w:color w:val="auto"/>
              </w:rPr>
            </w:pPr>
          </w:p>
        </w:tc>
        <w:tc>
          <w:tcPr>
            <w:tcW w:w="220" w:type="dxa"/>
            <w:vAlign w:val="bottom"/>
            <w:tcBorders>
              <w:bottom w:val="single" w:sz="8" w:color="00A1DF"/>
            </w:tcBorders>
          </w:tcPr>
          <w:p>
            <w:pPr>
              <w:spacing w:after="0"/>
              <w:rPr>
                <w:sz w:val="5"/>
                <w:szCs w:val="5"/>
                <w:color w:val="auto"/>
              </w:rPr>
            </w:pPr>
          </w:p>
        </w:tc>
        <w:tc>
          <w:tcPr>
            <w:tcW w:w="700" w:type="dxa"/>
            <w:vAlign w:val="bottom"/>
            <w:tcBorders>
              <w:bottom w:val="single" w:sz="8" w:color="00A1DF"/>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Mr. Bush</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rPr>
              <w:t>7,625</w:t>
            </w:r>
          </w:p>
        </w:tc>
        <w:tc>
          <w:tcPr>
            <w:tcW w:w="760" w:type="dxa"/>
            <w:vAlign w:val="bottom"/>
          </w:tcPr>
          <w:p>
            <w:pPr>
              <w:jc w:val="right"/>
              <w:spacing w:after="0"/>
              <w:rPr>
                <w:sz w:val="20"/>
                <w:szCs w:val="20"/>
                <w:color w:val="auto"/>
              </w:rPr>
            </w:pPr>
            <w:r>
              <w:rPr>
                <w:rFonts w:ascii="Arial" w:cs="Arial" w:eastAsia="Arial" w:hAnsi="Arial"/>
                <w:sz w:val="20"/>
                <w:szCs w:val="20"/>
                <w:color w:val="auto"/>
              </w:rPr>
              <w:t>$ 200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rPr>
              <w:t>7,825</w:t>
            </w:r>
          </w:p>
        </w:tc>
      </w:tr>
      <w:tr>
        <w:trPr>
          <w:trHeight w:val="62"/>
        </w:trPr>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Ms. Gooden</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w w:val="94"/>
              </w:rPr>
              <w:t>16,104</w:t>
            </w:r>
          </w:p>
        </w:tc>
        <w:tc>
          <w:tcPr>
            <w:tcW w:w="760" w:type="dxa"/>
            <w:vAlign w:val="bottom"/>
          </w:tcPr>
          <w:p>
            <w:pPr>
              <w:jc w:val="right"/>
              <w:spacing w:after="0"/>
              <w:rPr>
                <w:sz w:val="20"/>
                <w:szCs w:val="20"/>
                <w:color w:val="auto"/>
              </w:rPr>
            </w:pPr>
            <w:r>
              <w:rPr>
                <w:rFonts w:ascii="Arial" w:cs="Arial" w:eastAsia="Arial" w:hAnsi="Arial"/>
                <w:sz w:val="20"/>
                <w:szCs w:val="20"/>
                <w:color w:val="auto"/>
              </w:rPr>
              <w:t>$ 240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w w:val="94"/>
              </w:rPr>
              <w:t>16,344</w:t>
            </w:r>
          </w:p>
        </w:tc>
      </w:tr>
      <w:tr>
        <w:trPr>
          <w:trHeight w:val="62"/>
        </w:trPr>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Mr. Jimenez</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w w:val="94"/>
              </w:rPr>
              <w:t>36,500</w:t>
            </w:r>
          </w:p>
        </w:tc>
        <w:tc>
          <w:tcPr>
            <w:tcW w:w="760" w:type="dxa"/>
            <w:vAlign w:val="bottom"/>
          </w:tcPr>
          <w:p>
            <w:pPr>
              <w:jc w:val="right"/>
              <w:spacing w:after="0"/>
              <w:rPr>
                <w:sz w:val="20"/>
                <w:szCs w:val="20"/>
                <w:color w:val="auto"/>
              </w:rPr>
            </w:pPr>
            <w:r>
              <w:rPr>
                <w:rFonts w:ascii="Arial" w:cs="Arial" w:eastAsia="Arial" w:hAnsi="Arial"/>
                <w:sz w:val="20"/>
                <w:szCs w:val="20"/>
                <w:color w:val="auto"/>
              </w:rPr>
              <w:t>$ 240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w w:val="94"/>
              </w:rPr>
              <w:t>36,740</w:t>
            </w:r>
          </w:p>
        </w:tc>
      </w:tr>
      <w:tr>
        <w:trPr>
          <w:trHeight w:val="62"/>
        </w:trPr>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Ms. Mendillo</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w w:val="94"/>
              </w:rPr>
              <w:t>11,083</w:t>
            </w:r>
          </w:p>
        </w:tc>
        <w:tc>
          <w:tcPr>
            <w:tcW w:w="760" w:type="dxa"/>
            <w:vAlign w:val="bottom"/>
          </w:tcPr>
          <w:p>
            <w:pPr>
              <w:jc w:val="right"/>
              <w:spacing w:after="0"/>
              <w:rPr>
                <w:sz w:val="20"/>
                <w:szCs w:val="20"/>
                <w:color w:val="auto"/>
              </w:rPr>
            </w:pPr>
            <w:r>
              <w:rPr>
                <w:rFonts w:ascii="Arial" w:cs="Arial" w:eastAsia="Arial" w:hAnsi="Arial"/>
                <w:sz w:val="20"/>
                <w:szCs w:val="20"/>
                <w:color w:val="auto"/>
              </w:rPr>
              <w:t>$ 240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w w:val="94"/>
              </w:rPr>
              <w:t>11,323</w:t>
            </w:r>
          </w:p>
        </w:tc>
      </w:tr>
      <w:tr>
        <w:trPr>
          <w:trHeight w:val="62"/>
        </w:trPr>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Ms. Miscik</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w w:val="94"/>
              </w:rPr>
              <w:t>25,229</w:t>
            </w:r>
          </w:p>
        </w:tc>
        <w:tc>
          <w:tcPr>
            <w:tcW w:w="760" w:type="dxa"/>
            <w:vAlign w:val="bottom"/>
          </w:tcPr>
          <w:p>
            <w:pPr>
              <w:jc w:val="right"/>
              <w:spacing w:after="0"/>
              <w:rPr>
                <w:sz w:val="20"/>
                <w:szCs w:val="20"/>
                <w:color w:val="auto"/>
              </w:rPr>
            </w:pPr>
            <w:r>
              <w:rPr>
                <w:rFonts w:ascii="Arial" w:cs="Arial" w:eastAsia="Arial" w:hAnsi="Arial"/>
                <w:sz w:val="20"/>
                <w:szCs w:val="20"/>
                <w:color w:val="auto"/>
              </w:rPr>
              <w:t>$ 240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w w:val="94"/>
              </w:rPr>
              <w:t>25,469</w:t>
            </w:r>
          </w:p>
        </w:tc>
      </w:tr>
      <w:tr>
        <w:trPr>
          <w:trHeight w:val="62"/>
        </w:trPr>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92"/>
        </w:trPr>
        <w:tc>
          <w:tcPr>
            <w:tcW w:w="1720" w:type="dxa"/>
            <w:vAlign w:val="bottom"/>
          </w:tcPr>
          <w:p>
            <w:pPr>
              <w:ind w:left="100"/>
              <w:spacing w:after="0"/>
              <w:rPr>
                <w:sz w:val="20"/>
                <w:szCs w:val="20"/>
                <w:color w:val="auto"/>
              </w:rPr>
            </w:pPr>
            <w:r>
              <w:rPr>
                <w:rFonts w:ascii="Arial" w:cs="Arial" w:eastAsia="Arial" w:hAnsi="Arial"/>
                <w:sz w:val="20"/>
                <w:szCs w:val="20"/>
                <w:color w:val="auto"/>
              </w:rPr>
              <w:t>Adm. Mullen</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22"/>
              <w:spacing w:after="0"/>
              <w:rPr>
                <w:sz w:val="20"/>
                <w:szCs w:val="20"/>
                <w:color w:val="auto"/>
              </w:rPr>
            </w:pPr>
            <w:r>
              <w:rPr>
                <w:rFonts w:ascii="Arial" w:cs="Arial" w:eastAsia="Arial" w:hAnsi="Arial"/>
                <w:sz w:val="20"/>
                <w:szCs w:val="20"/>
                <w:color w:val="auto"/>
                <w:w w:val="94"/>
              </w:rPr>
              <w:t>39,250</w:t>
            </w:r>
          </w:p>
        </w:tc>
        <w:tc>
          <w:tcPr>
            <w:tcW w:w="760" w:type="dxa"/>
            <w:vAlign w:val="bottom"/>
          </w:tcPr>
          <w:p>
            <w:pPr>
              <w:jc w:val="right"/>
              <w:spacing w:after="0"/>
              <w:rPr>
                <w:sz w:val="20"/>
                <w:szCs w:val="20"/>
                <w:color w:val="auto"/>
              </w:rPr>
            </w:pPr>
            <w:r>
              <w:rPr>
                <w:rFonts w:ascii="Arial" w:cs="Arial" w:eastAsia="Arial" w:hAnsi="Arial"/>
                <w:sz w:val="20"/>
                <w:szCs w:val="20"/>
                <w:color w:val="auto"/>
              </w:rPr>
              <w:t>$ 120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
              <w:spacing w:after="0"/>
              <w:rPr>
                <w:sz w:val="20"/>
                <w:szCs w:val="20"/>
                <w:color w:val="auto"/>
              </w:rPr>
            </w:pPr>
            <w:r>
              <w:rPr>
                <w:rFonts w:ascii="Arial" w:cs="Arial" w:eastAsia="Arial" w:hAnsi="Arial"/>
                <w:sz w:val="20"/>
                <w:szCs w:val="20"/>
                <w:color w:val="auto"/>
                <w:w w:val="94"/>
              </w:rPr>
              <w:t>39,370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150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50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00A1DF"/>
            </w:tcBorders>
          </w:tcPr>
          <w:p>
            <w:pPr>
              <w:spacing w:after="0"/>
              <w:rPr>
                <w:sz w:val="18"/>
                <w:szCs w:val="18"/>
                <w:color w:val="auto"/>
              </w:rPr>
            </w:pPr>
          </w:p>
        </w:tc>
        <w:tc>
          <w:tcPr>
            <w:tcW w:w="1460" w:type="dxa"/>
            <w:vAlign w:val="bottom"/>
            <w:tcBorders>
              <w:top w:val="single" w:sz="8" w:color="00A1DF"/>
            </w:tcBorders>
          </w:tcPr>
          <w:p>
            <w:pPr>
              <w:jc w:val="right"/>
              <w:ind w:right="42"/>
              <w:spacing w:after="0" w:line="213" w:lineRule="exact"/>
              <w:rPr>
                <w:sz w:val="20"/>
                <w:szCs w:val="20"/>
                <w:color w:val="auto"/>
              </w:rPr>
            </w:pPr>
            <w:r>
              <w:rPr>
                <w:rFonts w:ascii="Arial" w:cs="Arial" w:eastAsia="Arial" w:hAnsi="Arial"/>
                <w:sz w:val="20"/>
                <w:szCs w:val="20"/>
                <w:b w:val="1"/>
                <w:bCs w:val="1"/>
                <w:color w:val="00A1DF"/>
              </w:rPr>
              <w:t>Company</w:t>
            </w:r>
          </w:p>
        </w:tc>
        <w:tc>
          <w:tcPr>
            <w:tcW w:w="760" w:type="dxa"/>
            <w:vAlign w:val="bottom"/>
            <w:tcBorders>
              <w:top w:val="single" w:sz="8" w:color="00A1DF"/>
            </w:tcBorders>
          </w:tcPr>
          <w:p>
            <w:pPr>
              <w:spacing w:after="0"/>
              <w:rPr>
                <w:sz w:val="18"/>
                <w:szCs w:val="18"/>
                <w:color w:val="auto"/>
              </w:rPr>
            </w:pPr>
          </w:p>
        </w:tc>
        <w:tc>
          <w:tcPr>
            <w:tcW w:w="920" w:type="dxa"/>
            <w:vAlign w:val="bottom"/>
            <w:tcBorders>
              <w:top w:val="single" w:sz="8" w:color="00A1DF"/>
            </w:tcBorders>
          </w:tcPr>
          <w:p>
            <w:pPr>
              <w:spacing w:after="0"/>
              <w:rPr>
                <w:sz w:val="18"/>
                <w:szCs w:val="18"/>
                <w:color w:val="auto"/>
              </w:rPr>
            </w:pPr>
          </w:p>
        </w:tc>
      </w:tr>
      <w:tr>
        <w:trPr>
          <w:trHeight w:val="214"/>
        </w:trPr>
        <w:tc>
          <w:tcPr>
            <w:tcW w:w="2120" w:type="dxa"/>
            <w:vAlign w:val="bottom"/>
          </w:tcPr>
          <w:p>
            <w:pPr>
              <w:spacing w:after="0"/>
              <w:rPr>
                <w:sz w:val="18"/>
                <w:szCs w:val="18"/>
                <w:color w:val="auto"/>
              </w:rPr>
            </w:pPr>
          </w:p>
        </w:tc>
        <w:tc>
          <w:tcPr>
            <w:tcW w:w="146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Vehicle</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120" w:type="dxa"/>
            <w:vAlign w:val="bottom"/>
          </w:tcPr>
          <w:p>
            <w:pPr>
              <w:spacing w:after="0"/>
              <w:rPr>
                <w:sz w:val="18"/>
                <w:szCs w:val="18"/>
                <w:color w:val="auto"/>
              </w:rPr>
            </w:pPr>
          </w:p>
        </w:tc>
        <w:tc>
          <w:tcPr>
            <w:tcW w:w="146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Program</w:t>
            </w:r>
          </w:p>
        </w:tc>
        <w:tc>
          <w:tcPr>
            <w:tcW w:w="76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A1DF"/>
              </w:rPr>
              <w:t>Other</w:t>
            </w:r>
          </w:p>
        </w:tc>
        <w:tc>
          <w:tcPr>
            <w:tcW w:w="920" w:type="dxa"/>
            <w:vAlign w:val="bottom"/>
          </w:tcPr>
          <w:p>
            <w:pPr>
              <w:spacing w:after="0"/>
              <w:rPr>
                <w:sz w:val="18"/>
                <w:szCs w:val="18"/>
                <w:color w:val="auto"/>
              </w:rPr>
            </w:pPr>
          </w:p>
        </w:tc>
      </w:tr>
      <w:tr>
        <w:trPr>
          <w:trHeight w:val="273"/>
        </w:trPr>
        <w:tc>
          <w:tcPr>
            <w:tcW w:w="2120" w:type="dxa"/>
            <w:vAlign w:val="bottom"/>
          </w:tcPr>
          <w:p>
            <w:pPr>
              <w:ind w:left="200"/>
              <w:spacing w:after="0"/>
              <w:rPr>
                <w:sz w:val="20"/>
                <w:szCs w:val="20"/>
                <w:color w:val="auto"/>
              </w:rPr>
            </w:pPr>
            <w:r>
              <w:rPr>
                <w:rFonts w:ascii="Arial" w:cs="Arial" w:eastAsia="Arial" w:hAnsi="Arial"/>
                <w:sz w:val="20"/>
                <w:szCs w:val="20"/>
                <w:b w:val="1"/>
                <w:bCs w:val="1"/>
                <w:color w:val="00A1DF"/>
              </w:rPr>
              <w:t>Director</w:t>
            </w:r>
          </w:p>
        </w:tc>
        <w:tc>
          <w:tcPr>
            <w:tcW w:w="1460" w:type="dxa"/>
            <w:vAlign w:val="bottom"/>
          </w:tcPr>
          <w:p>
            <w:pPr>
              <w:jc w:val="right"/>
              <w:ind w:right="42"/>
              <w:spacing w:after="0"/>
              <w:rPr>
                <w:sz w:val="20"/>
                <w:szCs w:val="20"/>
                <w:color w:val="auto"/>
              </w:rPr>
            </w:pPr>
            <w:r>
              <w:rPr>
                <w:rFonts w:ascii="Arial" w:cs="Arial" w:eastAsia="Arial" w:hAnsi="Arial"/>
                <w:sz w:val="20"/>
                <w:szCs w:val="20"/>
                <w:b w:val="1"/>
                <w:bCs w:val="1"/>
                <w:color w:val="00A1DF"/>
              </w:rPr>
              <w:t>(a)</w:t>
            </w:r>
          </w:p>
        </w:tc>
        <w:tc>
          <w:tcPr>
            <w:tcW w:w="760" w:type="dxa"/>
            <w:vAlign w:val="bottom"/>
          </w:tcPr>
          <w:p>
            <w:pPr>
              <w:jc w:val="right"/>
              <w:ind w:right="2"/>
              <w:spacing w:after="0"/>
              <w:rPr>
                <w:sz w:val="20"/>
                <w:szCs w:val="20"/>
                <w:color w:val="auto"/>
              </w:rPr>
            </w:pPr>
            <w:r>
              <w:rPr>
                <w:rFonts w:ascii="Arial" w:cs="Arial" w:eastAsia="Arial" w:hAnsi="Arial"/>
                <w:sz w:val="20"/>
                <w:szCs w:val="20"/>
                <w:b w:val="1"/>
                <w:bCs w:val="1"/>
                <w:color w:val="00A1DF"/>
              </w:rPr>
              <w:t>(b)</w:t>
            </w:r>
          </w:p>
        </w:tc>
        <w:tc>
          <w:tcPr>
            <w:tcW w:w="920" w:type="dxa"/>
            <w:vAlign w:val="bottom"/>
          </w:tcPr>
          <w:p>
            <w:pPr>
              <w:jc w:val="right"/>
              <w:ind w:right="2"/>
              <w:spacing w:after="0"/>
              <w:rPr>
                <w:sz w:val="20"/>
                <w:szCs w:val="20"/>
                <w:color w:val="auto"/>
              </w:rPr>
            </w:pPr>
            <w:r>
              <w:rPr>
                <w:rFonts w:ascii="Arial" w:cs="Arial" w:eastAsia="Arial" w:hAnsi="Arial"/>
                <w:sz w:val="20"/>
                <w:szCs w:val="20"/>
                <w:b w:val="1"/>
                <w:bCs w:val="1"/>
                <w:color w:val="00A1DF"/>
              </w:rPr>
              <w:t>Total</w:t>
            </w:r>
          </w:p>
        </w:tc>
      </w:tr>
      <w:tr>
        <w:trPr>
          <w:trHeight w:val="62"/>
        </w:trPr>
        <w:tc>
          <w:tcPr>
            <w:tcW w:w="2120" w:type="dxa"/>
            <w:vAlign w:val="bottom"/>
            <w:tcBorders>
              <w:bottom w:val="single" w:sz="8" w:color="00A1DF"/>
            </w:tcBorders>
          </w:tcPr>
          <w:p>
            <w:pPr>
              <w:spacing w:after="0"/>
              <w:rPr>
                <w:sz w:val="5"/>
                <w:szCs w:val="5"/>
                <w:color w:val="auto"/>
              </w:rPr>
            </w:pPr>
          </w:p>
        </w:tc>
        <w:tc>
          <w:tcPr>
            <w:tcW w:w="1460" w:type="dxa"/>
            <w:vAlign w:val="bottom"/>
            <w:tcBorders>
              <w:bottom w:val="single" w:sz="8" w:color="00A1DF"/>
            </w:tcBorders>
          </w:tcPr>
          <w:p>
            <w:pPr>
              <w:spacing w:after="0"/>
              <w:rPr>
                <w:sz w:val="5"/>
                <w:szCs w:val="5"/>
                <w:color w:val="auto"/>
              </w:rPr>
            </w:pPr>
          </w:p>
        </w:tc>
        <w:tc>
          <w:tcPr>
            <w:tcW w:w="760" w:type="dxa"/>
            <w:vAlign w:val="bottom"/>
            <w:tcBorders>
              <w:bottom w:val="single" w:sz="8" w:color="00A1DF"/>
            </w:tcBorders>
          </w:tcPr>
          <w:p>
            <w:pPr>
              <w:spacing w:after="0"/>
              <w:rPr>
                <w:sz w:val="5"/>
                <w:szCs w:val="5"/>
                <w:color w:val="auto"/>
              </w:rPr>
            </w:pPr>
          </w:p>
        </w:tc>
        <w:tc>
          <w:tcPr>
            <w:tcW w:w="920" w:type="dxa"/>
            <w:vAlign w:val="bottom"/>
            <w:tcBorders>
              <w:bottom w:val="single" w:sz="8" w:color="00A1DF"/>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Mr. Mulva</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$30,667</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$ 120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$30,787</w:t>
            </w:r>
          </w:p>
        </w:tc>
      </w:tr>
      <w:tr>
        <w:trPr>
          <w:trHeight w:val="62"/>
        </w:trPr>
        <w:tc>
          <w:tcPr>
            <w:tcW w:w="2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Ms. Russo</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$15,500</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$ 240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$15,740</w:t>
            </w:r>
          </w:p>
        </w:tc>
      </w:tr>
      <w:tr>
        <w:trPr>
          <w:trHeight w:val="62"/>
        </w:trPr>
        <w:tc>
          <w:tcPr>
            <w:tcW w:w="2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Mr. Schoewe</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$45,708</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$ 240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$45,948</w:t>
            </w:r>
          </w:p>
        </w:tc>
      </w:tr>
      <w:tr>
        <w:trPr>
          <w:trHeight w:val="62"/>
        </w:trPr>
        <w:tc>
          <w:tcPr>
            <w:tcW w:w="2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Mr. Solso</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$21,750</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$ 240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$21,990</w:t>
            </w:r>
          </w:p>
        </w:tc>
      </w:tr>
      <w:tr>
        <w:trPr>
          <w:trHeight w:val="62"/>
        </w:trPr>
        <w:tc>
          <w:tcPr>
            <w:tcW w:w="2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Ms. Stephenson</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$15,144</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$ 240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$15,384</w:t>
            </w:r>
          </w:p>
        </w:tc>
      </w:tr>
      <w:tr>
        <w:trPr>
          <w:trHeight w:val="62"/>
        </w:trPr>
        <w:tc>
          <w:tcPr>
            <w:tcW w:w="2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92"/>
        </w:trPr>
        <w:tc>
          <w:tcPr>
            <w:tcW w:w="2120" w:type="dxa"/>
            <w:vAlign w:val="bottom"/>
          </w:tcPr>
          <w:p>
            <w:pPr>
              <w:ind w:left="280"/>
              <w:spacing w:after="0"/>
              <w:rPr>
                <w:sz w:val="20"/>
                <w:szCs w:val="20"/>
                <w:color w:val="auto"/>
              </w:rPr>
            </w:pPr>
            <w:r>
              <w:rPr>
                <w:rFonts w:ascii="Arial" w:cs="Arial" w:eastAsia="Arial" w:hAnsi="Arial"/>
                <w:sz w:val="20"/>
                <w:szCs w:val="20"/>
                <w:color w:val="auto"/>
              </w:rPr>
              <w:t>Mr. Wenig</w:t>
            </w:r>
          </w:p>
        </w:tc>
        <w:tc>
          <w:tcPr>
            <w:tcW w:w="1460" w:type="dxa"/>
            <w:vAlign w:val="bottom"/>
          </w:tcPr>
          <w:p>
            <w:pPr>
              <w:jc w:val="right"/>
              <w:ind w:right="42"/>
              <w:spacing w:after="0"/>
              <w:rPr>
                <w:sz w:val="20"/>
                <w:szCs w:val="20"/>
                <w:color w:val="auto"/>
              </w:rPr>
            </w:pPr>
            <w:r>
              <w:rPr>
                <w:rFonts w:ascii="Arial" w:cs="Arial" w:eastAsia="Arial" w:hAnsi="Arial"/>
                <w:sz w:val="20"/>
                <w:szCs w:val="20"/>
                <w:color w:val="auto"/>
              </w:rPr>
              <w:t>$35,708</w:t>
            </w:r>
          </w:p>
        </w:tc>
        <w:tc>
          <w:tcPr>
            <w:tcW w:w="760" w:type="dxa"/>
            <w:vAlign w:val="bottom"/>
          </w:tcPr>
          <w:p>
            <w:pPr>
              <w:jc w:val="right"/>
              <w:ind w:right="2"/>
              <w:spacing w:after="0"/>
              <w:rPr>
                <w:sz w:val="20"/>
                <w:szCs w:val="20"/>
                <w:color w:val="auto"/>
              </w:rPr>
            </w:pPr>
            <w:r>
              <w:rPr>
                <w:rFonts w:ascii="Arial" w:cs="Arial" w:eastAsia="Arial" w:hAnsi="Arial"/>
                <w:sz w:val="20"/>
                <w:szCs w:val="20"/>
                <w:color w:val="auto"/>
              </w:rPr>
              <w:t>$ 240</w:t>
            </w:r>
          </w:p>
        </w:tc>
        <w:tc>
          <w:tcPr>
            <w:tcW w:w="920" w:type="dxa"/>
            <w:vAlign w:val="bottom"/>
          </w:tcPr>
          <w:p>
            <w:pPr>
              <w:jc w:val="right"/>
              <w:ind w:right="2"/>
              <w:spacing w:after="0"/>
              <w:rPr>
                <w:sz w:val="20"/>
                <w:szCs w:val="20"/>
                <w:color w:val="auto"/>
              </w:rPr>
            </w:pPr>
            <w:r>
              <w:rPr>
                <w:rFonts w:ascii="Arial" w:cs="Arial" w:eastAsia="Arial" w:hAnsi="Arial"/>
                <w:sz w:val="20"/>
                <w:szCs w:val="20"/>
                <w:color w:val="auto"/>
              </w:rPr>
              <w:t>$35,948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3337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120" w:space="700"/>
            <w:col w:w="5280"/>
          </w:cols>
          <w:pgMar w:left="320" w:top="456" w:right="479" w:bottom="1440" w:gutter="0" w:footer="0" w:header="0"/>
          <w:type w:val="continuous"/>
        </w:sectPr>
      </w:pPr>
    </w:p>
    <w:p>
      <w:pPr>
        <w:ind w:left="1140" w:right="160" w:hanging="545"/>
        <w:spacing w:after="0" w:line="239" w:lineRule="auto"/>
        <w:tabs>
          <w:tab w:leader="none" w:pos="114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each director.</w:t>
      </w:r>
    </w:p>
    <w:p>
      <w:pPr>
        <w:spacing w:after="0" w:line="52" w:lineRule="exact"/>
        <w:rPr>
          <w:rFonts w:ascii="Arial" w:cs="Arial" w:eastAsia="Arial" w:hAnsi="Arial"/>
          <w:sz w:val="18"/>
          <w:szCs w:val="18"/>
          <w:i w:val="1"/>
          <w:iCs w:val="1"/>
          <w:color w:val="auto"/>
        </w:rPr>
      </w:pPr>
    </w:p>
    <w:p>
      <w:pPr>
        <w:ind w:left="1140" w:right="740" w:hanging="545"/>
        <w:spacing w:after="0" w:line="260" w:lineRule="auto"/>
        <w:tabs>
          <w:tab w:leader="none" w:pos="114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cost of premiums for providing personal accident insurance (annual premium cost of $240 is prorated, as applicable, for the period of service).</w:t>
      </w:r>
    </w:p>
    <w:p>
      <w:pPr>
        <w:spacing w:after="0" w:line="32" w:lineRule="exact"/>
        <w:rPr>
          <w:rFonts w:ascii="Arial" w:cs="Arial" w:eastAsia="Arial" w:hAnsi="Arial"/>
          <w:sz w:val="18"/>
          <w:szCs w:val="18"/>
          <w:i w:val="1"/>
          <w:iCs w:val="1"/>
          <w:color w:val="auto"/>
        </w:rPr>
      </w:pPr>
    </w:p>
    <w:p>
      <w:pPr>
        <w:ind w:left="600" w:hanging="433"/>
        <w:spacing w:after="0"/>
        <w:tabs>
          <w:tab w:leader="none" w:pos="6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Mr. Bush joined the Board on February 11, 2019.</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Mr. Jimenez was appointed Chair of the Finance Committee on April 16, 2019.</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Adm. Mullen retired from the Board effective June 4, 2019.</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Mr. Mulva retired from the Board effective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793865" cy="101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13</w:t>
      </w:r>
    </w:p>
    <w:p>
      <w:pPr>
        <w:sectPr>
          <w:pgSz w:w="11900" w:h="16838" w:orient="portrait"/>
          <w:cols w:equalWidth="0" w:num="1">
            <w:col w:w="11100"/>
          </w:cols>
          <w:pgMar w:left="320" w:top="456" w:right="47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CORPORATE GOVERNANCE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The Board of Directors</w:t>
      </w:r>
    </w:p>
    <w:p>
      <w:pPr>
        <w:spacing w:after="0" w:line="20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GM is governed by a Board of Directors and Committees of the Board that meet throughout the year. The Board is elected by shareholders to oversee and provide guidance on the Company’s business and affairs. It is the ultimate decision-making body of the Company except for those matters reserved for shareholders by law or pursuant to the Company’s governance instruments. Among other things, the Board oversees company strategy and execution of the strategic plan. In addition, it oversees management’s proper safeguarding of the assets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62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57" w:lineRule="exact"/>
        <w:rPr>
          <w:sz w:val="20"/>
          <w:szCs w:val="20"/>
          <w:color w:val="auto"/>
        </w:rPr>
      </w:pPr>
    </w:p>
    <w:p>
      <w:pPr>
        <w:ind w:left="700" w:hanging="533"/>
        <w:spacing w:after="0"/>
        <w:tabs>
          <w:tab w:leader="none" w:pos="700" w:val="left"/>
        </w:tabs>
        <w:numPr>
          <w:ilvl w:val="0"/>
          <w:numId w:val="11"/>
        </w:numPr>
        <w:rPr>
          <w:rFonts w:ascii="Arial" w:cs="Arial" w:eastAsia="Arial" w:hAnsi="Arial"/>
          <w:sz w:val="25"/>
          <w:szCs w:val="25"/>
          <w:color w:val="0033A0"/>
        </w:rPr>
      </w:pPr>
      <w:r>
        <w:rPr>
          <w:rFonts w:ascii="Arial" w:cs="Arial" w:eastAsia="Arial" w:hAnsi="Arial"/>
          <w:sz w:val="25"/>
          <w:szCs w:val="25"/>
          <w:color w:val="auto"/>
        </w:rPr>
        <w:t>Board Size</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The Board sets the number of directors from time to time by a resolution adopted by a majority of the directors. The Governance Committee reassesses the suitability of the Board’s size at least annually. The Board has the flexibility to increase or decrease the size of the Board as circumstances warrant, although the Company’s Certificate of Incorporation limits the total number of directors to 17. There are currently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members of the Board. If all of the Board’s nominees are elected, the Board will be composed of 11 members immediately following the Annual Meeting. If any nominee is unable to serve as a director or if any director leaves the Board between annual meetings, the Board, by resolution, may reduce the number of directors or elect an individual to fill the resulting vacancy.</w:t>
      </w:r>
    </w:p>
    <w:p>
      <w:pPr>
        <w:spacing w:after="0" w:line="41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6" w:lineRule="exact"/>
        <w:rPr>
          <w:sz w:val="20"/>
          <w:szCs w:val="20"/>
          <w:color w:val="auto"/>
        </w:rPr>
      </w:pPr>
    </w:p>
    <w:p>
      <w:pPr>
        <w:ind w:left="700" w:hanging="533"/>
        <w:spacing w:after="0"/>
        <w:tabs>
          <w:tab w:leader="none" w:pos="700" w:val="left"/>
        </w:tabs>
        <w:numPr>
          <w:ilvl w:val="0"/>
          <w:numId w:val="12"/>
        </w:numPr>
        <w:rPr>
          <w:rFonts w:ascii="Arial" w:cs="Arial" w:eastAsia="Arial" w:hAnsi="Arial"/>
          <w:sz w:val="25"/>
          <w:szCs w:val="25"/>
          <w:color w:val="0033A0"/>
        </w:rPr>
      </w:pPr>
      <w:r>
        <w:rPr>
          <w:rFonts w:ascii="Arial" w:cs="Arial" w:eastAsia="Arial" w:hAnsi="Arial"/>
          <w:sz w:val="25"/>
          <w:szCs w:val="25"/>
          <w:color w:val="auto"/>
        </w:rPr>
        <w:t>Director Independence</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GM’s Bylaws and Corporate Governance Guidelines define our standards for director independence and reflect applicable NYSE and SEC requirements. At least two-thirds of our directors are and must be independent under these standards. In addition, all members of the Audit Committee and the Executive Compensation Committee (the “Compensation Committee”) must meet heightened independence standards under applicable NYSE and SEC rules.</w:t>
      </w:r>
    </w:p>
    <w:p>
      <w:pPr>
        <w:spacing w:after="0" w:line="13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Governance Committee annually assesses the independence of each director and makes recommendations to the Board. For a director to be “independent,” the Board must determine that the director has no material relationship with the Company other than his or her service as a director.</w:t>
      </w:r>
    </w:p>
    <w:p>
      <w:pPr>
        <w:spacing w:after="0" w:line="11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In recommending to the Board that it determine each director is independent, the Governance Committee considered whether there were any other facts or circumstances that might impair a director’s independence. The Governance Committee also considered that GM, in the ordinary course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Consistent with these standards, the Board has reviewed all relationships between the Company and each director and considered all relevant quantitative and qualitative criteria. The Board has affirmatively determined that all directors were independent during 2019, and that all current members are independent, except Ms. Barra, who serves as CEO.</w:t>
      </w:r>
    </w:p>
    <w:p>
      <w:pPr>
        <w:spacing w:after="0" w:line="98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6"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14 </w:t>
      </w:r>
      <w:r>
        <w:rPr>
          <w:sz w:val="1"/>
          <w:szCs w:val="1"/>
          <w:color w:val="auto"/>
        </w:rPr>
        <w:drawing>
          <wp:inline distT="0" distB="0" distL="0" distR="0">
            <wp:extent cx="6793865" cy="101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Board Leadership Structure and Composition</w:t>
      </w:r>
    </w:p>
    <w:p>
      <w:pPr>
        <w:sectPr>
          <w:pgSz w:w="11900" w:h="16838" w:orient="portrait"/>
          <w:cols w:equalWidth="0" w:num="1">
            <w:col w:w="11100"/>
          </w:cols>
          <w:pgMar w:left="320" w:top="456" w:right="479" w:bottom="1440" w:gutter="0" w:footer="0" w:header="0"/>
        </w:sectPr>
      </w:pP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auto"/>
        </w:rPr>
        <w:t>Your Board has the flexibility to decide when the positions of Chairman and CEO should be combined or separated, and whether an executive or an independent director should be Chairman. This allows the Board to choose the leadership structure that it believes will best serve the interests of our shareholders at any particular time. In January 2016, the Board recombined the positions of Chairman and CEO under the leadership of Ms. Barra and designated Mr. Solso as Independent Lead Director. Prior to that time, Mr. Solso served as the Board’s non-executive chairman.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Since then, each year your Board has voted to elect Ms. Barra as Chairman of the Board, and the independent directors have voted to appoint Mr. Solso as the Independent Lead Director. Your Board believes that, right now, combining the role of Chairman and CEO and electing a strong Independent Lead Director is the optimal Board leadership structure for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644525</wp:posOffset>
            </wp:positionV>
            <wp:extent cx="6929755" cy="254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841"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FFFFFF"/>
        </w:rPr>
        <w:t>DUTIES OF THE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29755" cy="2768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2768600"/>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type w:val="continuous"/>
        </w:sectPr>
      </w:pPr>
    </w:p>
    <w:p>
      <w:pPr>
        <w:spacing w:after="0" w:line="172" w:lineRule="exact"/>
        <w:rPr>
          <w:sz w:val="20"/>
          <w:szCs w:val="20"/>
          <w:color w:val="auto"/>
        </w:rPr>
      </w:pPr>
    </w:p>
    <w:p>
      <w:pPr>
        <w:jc w:val="both"/>
        <w:ind w:left="520" w:hanging="213"/>
        <w:spacing w:after="0" w:line="235"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Presiding over all Board meetings when the Chairman is</w:t>
      </w:r>
      <w:r>
        <w:rPr>
          <w:rFonts w:ascii="Arial" w:cs="Arial" w:eastAsia="Arial" w:hAnsi="Arial"/>
          <w:sz w:val="20"/>
          <w:szCs w:val="20"/>
          <w:color w:val="00A1DF"/>
        </w:rPr>
        <w:t xml:space="preserve"> </w:t>
      </w:r>
      <w:r>
        <w:rPr>
          <w:rFonts w:ascii="Arial" w:cs="Arial" w:eastAsia="Arial" w:hAnsi="Arial"/>
          <w:sz w:val="20"/>
          <w:szCs w:val="20"/>
          <w:color w:val="000000"/>
        </w:rPr>
        <w:t>not present, including executive sessions of non-management directors, and advising the Chairman of any actions taken;</w:t>
      </w:r>
    </w:p>
    <w:p>
      <w:pPr>
        <w:spacing w:after="0" w:line="89" w:lineRule="exact"/>
        <w:rPr>
          <w:sz w:val="20"/>
          <w:szCs w:val="20"/>
          <w:color w:val="auto"/>
        </w:rPr>
      </w:pPr>
    </w:p>
    <w:p>
      <w:pPr>
        <w:jc w:val="both"/>
        <w:ind w:left="520" w:hanging="213"/>
        <w:spacing w:after="0" w:line="235"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Providing</w:t>
      </w:r>
      <w:r>
        <w:rPr>
          <w:sz w:val="20"/>
          <w:szCs w:val="20"/>
          <w:color w:val="auto"/>
        </w:rPr>
        <w:t xml:space="preserve"> </w:t>
      </w:r>
      <w:r>
        <w:rPr>
          <w:rFonts w:ascii="Arial" w:cs="Arial" w:eastAsia="Arial" w:hAnsi="Arial"/>
          <w:sz w:val="20"/>
          <w:szCs w:val="20"/>
          <w:color w:val="auto"/>
        </w:rPr>
        <w:t>Board leadership if circumstances arise in which the Chairman is actually, potentially, or perceived to have a conflict of interest;</w:t>
      </w:r>
    </w:p>
    <w:p>
      <w:pPr>
        <w:spacing w:after="0" w:line="100" w:lineRule="exact"/>
        <w:rPr>
          <w:sz w:val="20"/>
          <w:szCs w:val="20"/>
          <w:color w:val="auto"/>
        </w:rPr>
      </w:pPr>
    </w:p>
    <w:p>
      <w:pPr>
        <w:jc w:val="both"/>
        <w:ind w:left="520" w:hanging="213"/>
        <w:spacing w:after="0" w:line="232"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Calling</w:t>
      </w:r>
      <w:r>
        <w:rPr>
          <w:sz w:val="20"/>
          <w:szCs w:val="20"/>
          <w:color w:val="auto"/>
        </w:rPr>
        <w:t xml:space="preserve"> </w:t>
      </w:r>
      <w:r>
        <w:rPr>
          <w:rFonts w:ascii="Arial" w:cs="Arial" w:eastAsia="Arial" w:hAnsi="Arial"/>
          <w:sz w:val="20"/>
          <w:szCs w:val="20"/>
          <w:color w:val="auto"/>
        </w:rPr>
        <w:t>executive sessions for non-management directors, relaying feedback from these sessions to the Chairman, and implementing decisions made by the non-management directors;</w:t>
      </w:r>
    </w:p>
    <w:p>
      <w:pPr>
        <w:spacing w:after="0" w:line="100" w:lineRule="exact"/>
        <w:rPr>
          <w:sz w:val="20"/>
          <w:szCs w:val="20"/>
          <w:color w:val="auto"/>
        </w:rPr>
      </w:pPr>
    </w:p>
    <w:p>
      <w:pPr>
        <w:jc w:val="both"/>
        <w:ind w:left="520" w:hanging="213"/>
        <w:spacing w:after="0" w:line="232"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Leading</w:t>
      </w:r>
      <w:r>
        <w:rPr>
          <w:sz w:val="20"/>
          <w:szCs w:val="20"/>
          <w:color w:val="auto"/>
        </w:rPr>
        <w:t xml:space="preserve"> </w:t>
      </w:r>
      <w:r>
        <w:rPr>
          <w:rFonts w:ascii="Arial" w:cs="Arial" w:eastAsia="Arial" w:hAnsi="Arial"/>
          <w:sz w:val="20"/>
          <w:szCs w:val="20"/>
          <w:color w:val="auto"/>
        </w:rPr>
        <w:t>non-management directors in the annual evaluation of the CEO’s performance, communicating the results of that evaluation to the CEO, and overseeing CEO succession planning;</w:t>
      </w:r>
    </w:p>
    <w:p>
      <w:pPr>
        <w:spacing w:after="0" w:line="100" w:lineRule="exact"/>
        <w:rPr>
          <w:sz w:val="20"/>
          <w:szCs w:val="20"/>
          <w:color w:val="auto"/>
        </w:rPr>
      </w:pPr>
    </w:p>
    <w:p>
      <w:pPr>
        <w:jc w:val="both"/>
        <w:ind w:left="52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Approving Board meeting agendas to ensure sufficient</w:t>
      </w:r>
      <w:r>
        <w:rPr>
          <w:rFonts w:ascii="Arial" w:cs="Arial" w:eastAsia="Arial" w:hAnsi="Arial"/>
          <w:sz w:val="20"/>
          <w:szCs w:val="20"/>
          <w:color w:val="00A1DF"/>
        </w:rPr>
        <w:t xml:space="preserve"> </w:t>
      </w:r>
      <w:r>
        <w:rPr>
          <w:rFonts w:ascii="Arial" w:cs="Arial" w:eastAsia="Arial" w:hAnsi="Arial"/>
          <w:sz w:val="20"/>
          <w:szCs w:val="20"/>
          <w:color w:val="000000"/>
        </w:rPr>
        <w:t>time for discussion of all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174625</wp:posOffset>
            </wp:positionV>
            <wp:extent cx="6793865" cy="101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ind w:left="212" w:right="200" w:hanging="213"/>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Advising on the scope, quality, quantity, and timeliness</w:t>
      </w:r>
      <w:r>
        <w:rPr>
          <w:rFonts w:ascii="Arial" w:cs="Arial" w:eastAsia="Arial" w:hAnsi="Arial"/>
          <w:sz w:val="20"/>
          <w:szCs w:val="20"/>
          <w:color w:val="00A1DF"/>
        </w:rPr>
        <w:t xml:space="preserve"> </w:t>
      </w:r>
      <w:r>
        <w:rPr>
          <w:rFonts w:ascii="Arial" w:cs="Arial" w:eastAsia="Arial" w:hAnsi="Arial"/>
          <w:sz w:val="20"/>
          <w:szCs w:val="20"/>
          <w:color w:val="000000"/>
        </w:rPr>
        <w:t>of the flow of information between management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-426720</wp:posOffset>
            </wp:positionV>
            <wp:extent cx="3456305" cy="27514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56305" cy="2751455"/>
                    </a:xfrm>
                    <a:prstGeom prst="rect">
                      <a:avLst/>
                    </a:prstGeom>
                    <a:noFill/>
                  </pic:spPr>
                </pic:pic>
              </a:graphicData>
            </a:graphic>
          </wp:anchor>
        </w:drawing>
      </w:r>
    </w:p>
    <w:p>
      <w:pPr>
        <w:spacing w:after="0" w:line="66" w:lineRule="exact"/>
        <w:rPr>
          <w:sz w:val="20"/>
          <w:szCs w:val="20"/>
          <w:color w:val="auto"/>
        </w:rPr>
      </w:pPr>
    </w:p>
    <w:p>
      <w:pPr>
        <w:jc w:val="both"/>
        <w:ind w:left="212" w:right="200" w:hanging="213"/>
        <w:spacing w:after="0" w:line="230"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Serving</w:t>
      </w:r>
      <w:r>
        <w:rPr>
          <w:sz w:val="20"/>
          <w:szCs w:val="20"/>
          <w:color w:val="auto"/>
        </w:rPr>
        <w:t xml:space="preserve"> </w:t>
      </w:r>
      <w:r>
        <w:rPr>
          <w:rFonts w:ascii="Arial" w:cs="Arial" w:eastAsia="Arial" w:hAnsi="Arial"/>
          <w:sz w:val="20"/>
          <w:szCs w:val="20"/>
          <w:color w:val="auto"/>
        </w:rPr>
        <w:t>as a liaison between non-management directors and the Chairman when requested to do so (although all non-management directors have direct and complete access to the Chairman at any time that they deem necessary or appropriate);</w:t>
      </w:r>
    </w:p>
    <w:p>
      <w:pPr>
        <w:spacing w:after="0" w:line="102" w:lineRule="exact"/>
        <w:rPr>
          <w:sz w:val="20"/>
          <w:szCs w:val="20"/>
          <w:color w:val="auto"/>
        </w:rPr>
      </w:pPr>
    </w:p>
    <w:p>
      <w:pPr>
        <w:jc w:val="both"/>
        <w:ind w:left="212" w:right="200" w:hanging="213"/>
        <w:spacing w:after="0" w:line="235"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Interviewing, along with the Chair of the Governance</w:t>
      </w:r>
      <w:r>
        <w:rPr>
          <w:rFonts w:ascii="Arial" w:cs="Arial" w:eastAsia="Arial" w:hAnsi="Arial"/>
          <w:sz w:val="20"/>
          <w:szCs w:val="20"/>
          <w:color w:val="00A1DF"/>
        </w:rPr>
        <w:t xml:space="preserve"> </w:t>
      </w:r>
      <w:r>
        <w:rPr>
          <w:rFonts w:ascii="Arial" w:cs="Arial" w:eastAsia="Arial" w:hAnsi="Arial"/>
          <w:sz w:val="20"/>
          <w:szCs w:val="20"/>
          <w:color w:val="000000"/>
        </w:rPr>
        <w:t>Committee, all director candidates and making recommendations to the Governance Committee and the Board;</w:t>
      </w:r>
    </w:p>
    <w:p>
      <w:pPr>
        <w:spacing w:after="0" w:line="89" w:lineRule="exact"/>
        <w:rPr>
          <w:sz w:val="20"/>
          <w:szCs w:val="20"/>
          <w:color w:val="auto"/>
        </w:rPr>
      </w:pPr>
    </w:p>
    <w:p>
      <w:pPr>
        <w:jc w:val="both"/>
        <w:ind w:left="212" w:right="200" w:hanging="213"/>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Being available to advise the Board Committee Chairs</w:t>
      </w:r>
      <w:r>
        <w:rPr>
          <w:rFonts w:ascii="Arial" w:cs="Arial" w:eastAsia="Arial" w:hAnsi="Arial"/>
          <w:sz w:val="20"/>
          <w:szCs w:val="20"/>
          <w:color w:val="00A1DF"/>
        </w:rPr>
        <w:t xml:space="preserve"> </w:t>
      </w:r>
      <w:r>
        <w:rPr>
          <w:rFonts w:ascii="Arial" w:cs="Arial" w:eastAsia="Arial" w:hAnsi="Arial"/>
          <w:sz w:val="20"/>
          <w:szCs w:val="20"/>
          <w:color w:val="000000"/>
        </w:rPr>
        <w:t>in fulfilling their designated roles and responsibilities to the Board; and</w:t>
      </w:r>
    </w:p>
    <w:p>
      <w:pPr>
        <w:spacing w:after="0" w:line="99" w:lineRule="exact"/>
        <w:rPr>
          <w:sz w:val="20"/>
          <w:szCs w:val="20"/>
          <w:color w:val="auto"/>
        </w:rPr>
      </w:pPr>
    </w:p>
    <w:p>
      <w:pPr>
        <w:ind w:left="172" w:hanging="172"/>
        <w:spacing w:after="0"/>
        <w:tabs>
          <w:tab w:leader="none" w:pos="172" w:val="left"/>
        </w:tabs>
        <w:numPr>
          <w:ilvl w:val="0"/>
          <w:numId w:val="13"/>
        </w:numPr>
        <w:rPr>
          <w:rFonts w:ascii="Arial" w:cs="Arial" w:eastAsia="Arial" w:hAnsi="Arial"/>
          <w:sz w:val="19"/>
          <w:szCs w:val="19"/>
          <w:color w:val="00A1DF"/>
        </w:rPr>
      </w:pPr>
      <w:r>
        <w:rPr>
          <w:rFonts w:ascii="Arial" w:cs="Arial" w:eastAsia="Arial" w:hAnsi="Arial"/>
          <w:sz w:val="19"/>
          <w:szCs w:val="19"/>
          <w:color w:val="auto"/>
        </w:rPr>
        <w:t>Engaging, when requested to do so, with shareholders.</w:t>
      </w:r>
    </w:p>
    <w:p>
      <w:pPr>
        <w:spacing w:after="0" w:line="458" w:lineRule="exact"/>
        <w:rPr>
          <w:sz w:val="20"/>
          <w:szCs w:val="20"/>
          <w:color w:val="auto"/>
        </w:rPr>
      </w:pPr>
    </w:p>
    <w:p>
      <w:pPr>
        <w:sectPr>
          <w:pgSz w:w="11900" w:h="16838" w:orient="portrait"/>
          <w:cols w:equalWidth="0" w:num="2">
            <w:col w:w="5460" w:space="428"/>
            <w:col w:w="5212"/>
          </w:cols>
          <w:pgMar w:left="320" w:top="456" w:right="479" w:bottom="1440" w:gutter="0" w:footer="0" w:header="0"/>
          <w:type w:val="continuous"/>
        </w:sectPr>
      </w:pPr>
    </w:p>
    <w:p>
      <w:pPr>
        <w:spacing w:after="0" w:line="80"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15</w:t>
      </w:r>
    </w:p>
    <w:p>
      <w:pPr>
        <w:sectPr>
          <w:pgSz w:w="11900" w:h="16838" w:orient="portrait"/>
          <w:cols w:equalWidth="0" w:num="1">
            <w:col w:w="11100"/>
          </w:cols>
          <w:pgMar w:left="320" w:top="456"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7743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7743190"/>
                    </a:xfrm>
                    <a:prstGeom prst="rect">
                      <a:avLst/>
                    </a:prstGeom>
                    <a:noFill/>
                  </pic:spPr>
                </pic:pic>
              </a:graphicData>
            </a:graphic>
          </wp:anchor>
        </w:drawing>
      </w:r>
    </w:p>
    <w:p>
      <w:pPr>
        <w:spacing w:after="0" w:line="376" w:lineRule="exact"/>
        <w:rPr>
          <w:sz w:val="20"/>
          <w:szCs w:val="20"/>
          <w:color w:val="auto"/>
        </w:rPr>
      </w:pPr>
    </w:p>
    <w:p>
      <w:pPr>
        <w:ind w:left="360"/>
        <w:spacing w:after="0"/>
        <w:rPr>
          <w:sz w:val="20"/>
          <w:szCs w:val="20"/>
          <w:color w:val="auto"/>
        </w:rPr>
      </w:pPr>
      <w:r>
        <w:rPr>
          <w:rFonts w:ascii="Arial" w:cs="Arial" w:eastAsia="Arial" w:hAnsi="Arial"/>
          <w:sz w:val="45"/>
          <w:szCs w:val="45"/>
          <w:color w:val="00A1DF"/>
        </w:rPr>
        <w:t>A Message from the Independent Lead Director</w:t>
      </w:r>
    </w:p>
    <w:p>
      <w:pPr>
        <w:spacing w:after="0" w:line="141" w:lineRule="exact"/>
        <w:rPr>
          <w:sz w:val="20"/>
          <w:szCs w:val="20"/>
          <w:color w:val="auto"/>
        </w:rPr>
      </w:pPr>
    </w:p>
    <w:p>
      <w:pPr>
        <w:jc w:val="both"/>
        <w:ind w:left="360" w:right="20"/>
        <w:spacing w:after="0" w:line="236" w:lineRule="auto"/>
        <w:rPr>
          <w:sz w:val="20"/>
          <w:szCs w:val="20"/>
          <w:color w:val="auto"/>
        </w:rPr>
      </w:pPr>
      <w:r>
        <w:rPr>
          <w:rFonts w:ascii="Arial" w:cs="Arial" w:eastAsia="Arial" w:hAnsi="Arial"/>
          <w:sz w:val="18"/>
          <w:szCs w:val="18"/>
          <w:color w:val="auto"/>
        </w:rPr>
        <w:t>As the Independent Lead Director it is my responsibility to help my fellow independent directors oversee and shape the partnership between management and the Board. Let me briefly highlight a few areas of focus that I believe demonstrate our oversight and help forge an effective partnership that drives strong Company performance and enables GM to effectively mitigate risk in these challenging times.</w:t>
      </w:r>
    </w:p>
    <w:p>
      <w:pPr>
        <w:spacing w:after="0" w:line="90" w:lineRule="exact"/>
        <w:rPr>
          <w:sz w:val="20"/>
          <w:szCs w:val="20"/>
          <w:color w:val="auto"/>
        </w:rPr>
      </w:pPr>
    </w:p>
    <w:p>
      <w:pPr>
        <w:ind w:left="360" w:right="200"/>
        <w:spacing w:after="0" w:line="281" w:lineRule="auto"/>
        <w:rPr>
          <w:sz w:val="20"/>
          <w:szCs w:val="20"/>
          <w:color w:val="auto"/>
        </w:rPr>
      </w:pPr>
      <w:r>
        <w:rPr>
          <w:rFonts w:ascii="Arial" w:cs="Arial" w:eastAsia="Arial" w:hAnsi="Arial"/>
          <w:sz w:val="21"/>
          <w:szCs w:val="21"/>
          <w:b w:val="1"/>
          <w:bCs w:val="1"/>
          <w:i w:val="1"/>
          <w:iCs w:val="1"/>
          <w:color w:val="00A1DF"/>
        </w:rPr>
        <w:t>Focused Board Leadership: Why Your Board Believes that the Roles of Chairman and CEO Should Be Combined Right Now</w:t>
      </w:r>
    </w:p>
    <w:p>
      <w:pPr>
        <w:spacing w:after="0" w:line="95" w:lineRule="exact"/>
        <w:rPr>
          <w:sz w:val="20"/>
          <w:szCs w:val="20"/>
          <w:color w:val="auto"/>
        </w:rPr>
      </w:pPr>
    </w:p>
    <w:p>
      <w:pPr>
        <w:jc w:val="both"/>
        <w:ind w:left="360"/>
        <w:spacing w:after="0" w:line="234" w:lineRule="auto"/>
        <w:rPr>
          <w:sz w:val="20"/>
          <w:szCs w:val="20"/>
          <w:color w:val="auto"/>
        </w:rPr>
      </w:pPr>
      <w:r>
        <w:rPr>
          <w:rFonts w:ascii="Arial" w:cs="Arial" w:eastAsia="Arial" w:hAnsi="Arial"/>
          <w:sz w:val="18"/>
          <w:szCs w:val="18"/>
          <w:color w:val="auto"/>
        </w:rPr>
        <w:t>Your Board carefully considers the appropriate leadership structure for GM and its shareholders on an annual basis and determines whether to combine or separate the roles of Chairman and CEO. Your Board believes that Ms. Barra’s service as both Chairman and CEO continues to provide a clear and unified strategic vision for GM – particularly in times like this as the Board supports management’s efforts to mitigate the impact of the COVID-19 pandemic on our business and the communities where we operate. As the individual with primary responsibility for managing the Company, Ms. Barra’s in-depth knowledge of our business and understanding of GM’s day-to-day operations has provided focused leadership that has enabled GM to respond decisively to this uncertain environment. Ms. Barra has been a significant asset to the Board throughout her tenure as GM has taken bold, strategic actions to strengthen its core business, invest in technologies that will redefine the future of personal transportation, and be prepared to weather storms like the one we are facing today in COVID-19.</w:t>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21"/>
          <w:szCs w:val="21"/>
          <w:b w:val="1"/>
          <w:bCs w:val="1"/>
          <w:i w:val="1"/>
          <w:iCs w:val="1"/>
          <w:color w:val="00A1DF"/>
        </w:rPr>
        <w:t>My Role as the Independent Lead Director</w:t>
      </w:r>
    </w:p>
    <w:p>
      <w:pPr>
        <w:spacing w:after="0" w:line="165" w:lineRule="exact"/>
        <w:rPr>
          <w:sz w:val="20"/>
          <w:szCs w:val="20"/>
          <w:color w:val="auto"/>
        </w:rPr>
      </w:pPr>
    </w:p>
    <w:p>
      <w:pPr>
        <w:jc w:val="both"/>
        <w:ind w:left="360" w:right="20"/>
        <w:spacing w:after="0" w:line="237" w:lineRule="auto"/>
        <w:rPr>
          <w:sz w:val="20"/>
          <w:szCs w:val="20"/>
          <w:color w:val="auto"/>
        </w:rPr>
      </w:pPr>
      <w:r>
        <w:rPr>
          <w:rFonts w:ascii="Arial" w:cs="Arial" w:eastAsia="Arial" w:hAnsi="Arial"/>
          <w:sz w:val="18"/>
          <w:szCs w:val="18"/>
          <w:color w:val="auto"/>
        </w:rPr>
        <w:t>My job is to complement Ms. Barra’s role by providing strong, independent leadership. My key duties and responsibilities are described on page 15 of this Proxy Statement. In my role, I provide independent oversight of GM’s management team for our shareholders, including a specific focus on strategic risk management, compliance, governance, and CEO succession planning.</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21"/>
          <w:szCs w:val="21"/>
          <w:b w:val="1"/>
          <w:bCs w:val="1"/>
          <w:i w:val="1"/>
          <w:iCs w:val="1"/>
          <w:color w:val="00A1DF"/>
        </w:rPr>
        <w:t>Your Board is Shaping the Company’s Strategy and Overseeing Risk</w:t>
      </w:r>
    </w:p>
    <w:p>
      <w:pPr>
        <w:spacing w:after="0" w:line="178" w:lineRule="exact"/>
        <w:rPr>
          <w:sz w:val="20"/>
          <w:szCs w:val="20"/>
          <w:color w:val="auto"/>
        </w:rPr>
      </w:pPr>
    </w:p>
    <w:p>
      <w:pPr>
        <w:jc w:val="both"/>
        <w:ind w:left="360"/>
        <w:spacing w:after="0" w:line="233" w:lineRule="auto"/>
        <w:rPr>
          <w:sz w:val="20"/>
          <w:szCs w:val="20"/>
          <w:color w:val="auto"/>
        </w:rPr>
      </w:pPr>
      <w:r>
        <w:rPr>
          <w:rFonts w:ascii="Arial" w:cs="Arial" w:eastAsia="Arial" w:hAnsi="Arial"/>
          <w:sz w:val="18"/>
          <w:szCs w:val="18"/>
          <w:color w:val="auto"/>
        </w:rPr>
        <w:t>Your Board plays an important role in shaping management’s development and execution of GM’s strategy and overseeing its risk management processes. In recent weeks, the Board has been actively engaged with management as it has taken actions to safeguard our employees and our business in response to COVID-19. For more on our recent efforts, see “Responding to the COVID-19 Pandemic” on page 22 of this Proxy Statement. From a strategy perspective, the Board dedicates a portion of each meeting to strategic reviews that span the Company’s regions, vehicle franchises, adjacent businesses, and other key initiatives. In addition, the Board holds an annual multi-day session devoted to discussing, debating, challenging, and validating management’s overall strategy. Since the last annual meeting, these strategic reviews and discussions included labor and workforce issues, EV and AV execution, Cadillac rebranding, fuel economy regulation, capital allocation, workplace and vehicle safety, international reorganization, and various alternative future business scenarios. Your Board also regularly solicits independent views on GM’s business and key industry trends from outside experts, including investment bankers and buy- and sell-side analysts— as well as from shareholders through our routine engagements.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21"/>
          <w:szCs w:val="21"/>
          <w:b w:val="1"/>
          <w:bCs w:val="1"/>
          <w:i w:val="1"/>
          <w:iCs w:val="1"/>
          <w:color w:val="00A1DF"/>
        </w:rPr>
        <w:t>GM has the Right Board at the Right Time</w:t>
      </w:r>
    </w:p>
    <w:p>
      <w:pPr>
        <w:spacing w:after="0" w:line="178" w:lineRule="exact"/>
        <w:rPr>
          <w:sz w:val="20"/>
          <w:szCs w:val="20"/>
          <w:color w:val="auto"/>
        </w:rPr>
      </w:pPr>
    </w:p>
    <w:p>
      <w:pPr>
        <w:jc w:val="both"/>
        <w:ind w:left="360"/>
        <w:spacing w:after="0" w:line="235" w:lineRule="auto"/>
        <w:rPr>
          <w:sz w:val="20"/>
          <w:szCs w:val="20"/>
          <w:color w:val="auto"/>
        </w:rPr>
      </w:pPr>
      <w:r>
        <w:rPr>
          <w:rFonts w:ascii="Arial" w:cs="Arial" w:eastAsia="Arial" w:hAnsi="Arial"/>
          <w:sz w:val="18"/>
          <w:szCs w:val="18"/>
          <w:color w:val="auto"/>
        </w:rPr>
        <w:t>Your Board has significantly refreshed its membership in recent years to ensure it remains a strategic asset. Since 2018, we have added three new directors, each of whom has helped bolster the Board’s expertise in technology and managing operational, strategic, geopolitical, and economic risks. As a result, I believe that the director nominees listed on page 2 of this Proxy Statement individually and collectively possess the right mix of skills, qualifications, and experience for GM as we continue to execute our vision of a world with zero crashes, zero emissions, and zero congestion.</w:t>
      </w:r>
    </w:p>
    <w:p>
      <w:pPr>
        <w:spacing w:after="0" w:line="137" w:lineRule="exact"/>
        <w:rPr>
          <w:sz w:val="20"/>
          <w:szCs w:val="20"/>
          <w:color w:val="auto"/>
        </w:rPr>
      </w:pPr>
    </w:p>
    <w:p>
      <w:pPr>
        <w:jc w:val="both"/>
        <w:ind w:left="360" w:right="20"/>
        <w:spacing w:after="0" w:line="239" w:lineRule="auto"/>
        <w:rPr>
          <w:sz w:val="20"/>
          <w:szCs w:val="20"/>
          <w:color w:val="auto"/>
        </w:rPr>
      </w:pPr>
      <w:r>
        <w:rPr>
          <w:rFonts w:ascii="Arial" w:cs="Arial" w:eastAsia="Arial" w:hAnsi="Arial"/>
          <w:sz w:val="18"/>
          <w:szCs w:val="18"/>
          <w:color w:val="auto"/>
        </w:rPr>
        <w:t>I am proud to work closely with our Chairman and CEO and my fellow directors as we drive long-term shareholder value. On behalf of the entire Board, thank you for your continued support.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80"/>
        <w:spacing w:after="0"/>
        <w:rPr>
          <w:sz w:val="20"/>
          <w:szCs w:val="20"/>
          <w:color w:val="auto"/>
        </w:rPr>
      </w:pPr>
      <w:r>
        <w:rPr>
          <w:rFonts w:ascii="Arial" w:cs="Arial" w:eastAsia="Arial" w:hAnsi="Arial"/>
          <w:sz w:val="28"/>
          <w:szCs w:val="28"/>
          <w:b w:val="1"/>
          <w:bCs w:val="1"/>
          <w:color w:val="auto"/>
        </w:rPr>
        <w:t>Theodore M. Solso</w:t>
      </w:r>
    </w:p>
    <w:p>
      <w:pPr>
        <w:spacing w:after="0" w:line="33" w:lineRule="exact"/>
        <w:rPr>
          <w:sz w:val="20"/>
          <w:szCs w:val="20"/>
          <w:color w:val="auto"/>
        </w:rPr>
      </w:pPr>
    </w:p>
    <w:p>
      <w:pPr>
        <w:ind w:left="2080"/>
        <w:spacing w:after="0"/>
        <w:rPr>
          <w:sz w:val="20"/>
          <w:szCs w:val="20"/>
          <w:color w:val="auto"/>
        </w:rPr>
      </w:pPr>
      <w:r>
        <w:rPr>
          <w:rFonts w:ascii="Arial" w:cs="Arial" w:eastAsia="Arial" w:hAnsi="Arial"/>
          <w:sz w:val="28"/>
          <w:szCs w:val="28"/>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523240</wp:posOffset>
            </wp:positionV>
            <wp:extent cx="6793865" cy="101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16</w:t>
      </w:r>
    </w:p>
    <w:p>
      <w:pPr>
        <w:sectPr>
          <w:pgSz w:w="11900" w:h="16838" w:orient="portrait"/>
          <w:cols w:equalWidth="0" w:num="1">
            <w:col w:w="10900"/>
          </w:cols>
          <w:pgMar w:left="320" w:top="456"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4"/>
        </w:numPr>
        <w:rPr>
          <w:rFonts w:ascii="Arial" w:cs="Arial" w:eastAsia="Arial" w:hAnsi="Arial"/>
          <w:sz w:val="25"/>
          <w:szCs w:val="25"/>
          <w:color w:val="0033A0"/>
        </w:rPr>
      </w:pPr>
      <w:r>
        <w:rPr>
          <w:rFonts w:ascii="Arial" w:cs="Arial" w:eastAsia="Arial" w:hAnsi="Arial"/>
          <w:sz w:val="25"/>
          <w:szCs w:val="25"/>
          <w:color w:val="auto"/>
        </w:rPr>
        <w:t>Board Membership Criteria, Refreshment, and Succession Planning</w:t>
      </w:r>
    </w:p>
    <w:p>
      <w:pPr>
        <w:sectPr>
          <w:pgSz w:w="11900" w:h="16838" w:orient="portrait"/>
          <w:cols w:equalWidth="0" w:num="1">
            <w:col w:w="11100"/>
          </w:cols>
          <w:pgMar w:left="320" w:top="456" w:right="479" w:bottom="1440" w:gutter="0" w:footer="0" w:header="0"/>
        </w:sectPr>
      </w:pPr>
    </w:p>
    <w:p>
      <w:pPr>
        <w:spacing w:after="0" w:line="202"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auto"/>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that GM will face in the future. In evaluating potential director candidates, the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Governance Committee considers, among other factors, the criteria on page 3 of this Proxy Statement in the skills and qualifications matrix for current directors and any additional characteristics that it believes one or more directors should possess based on an assessment of the needs of the Board at that time. In every case, director candidates must be able to contribute significantly to your Board’s discussion and decision making on the broad array of complex issues facing GM. The Governance Committee also engages a reputable, qualified search firm that uses our skills matrix to inform the search and help identify and evaluate potential candidates.</w:t>
      </w:r>
    </w:p>
    <w:p>
      <w:pPr>
        <w:spacing w:after="0" w:line="415"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33A0"/>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172720</wp:posOffset>
            </wp:positionV>
            <wp:extent cx="6199505" cy="32442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99505" cy="324421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33A0"/>
        </w:rPr>
        <w:t>Board Diversity</w:t>
      </w:r>
    </w:p>
    <w:p>
      <w:pPr>
        <w:spacing w:after="0" w:line="22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The Governance Committee seeks individuals with a broad range of business experience and varied backgrounds. Although GM does not have a formal policy governing diversity among directors, your Board strives to identify candidates with diverse backgrounds. Your Board recognizes the value of overall diversity and considers members’ and candidates’ opinions, perspectives, personal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175895</wp:posOffset>
            </wp:positionV>
            <wp:extent cx="6793865" cy="101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professional experiences, and backgrounds, including gender, race, ethnicity, and country of origin. The judgment and perspectives offered by a diverse board of directors improves the quality of decision making and enhances the Company’s business performance. Such diversity can help the Board respond more effectively to the needs of customers, shareholders, employees, suppliers, and other stakeholders.</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17</w:t>
      </w:r>
    </w:p>
    <w:p>
      <w:pPr>
        <w:sectPr>
          <w:pgSz w:w="11900" w:h="16838" w:orient="portrait"/>
          <w:cols w:equalWidth="0" w:num="2">
            <w:col w:w="5400" w:space="340"/>
            <w:col w:w="5360"/>
          </w:cols>
          <w:pgMar w:left="320" w:top="456"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33A0"/>
        </w:rPr>
        <w:t>Candidate Recommendations</w:t>
      </w:r>
    </w:p>
    <w:p>
      <w:pPr>
        <w:sectPr>
          <w:pgSz w:w="11900" w:h="16838" w:orient="portrait"/>
          <w:cols w:equalWidth="0" w:num="1">
            <w:col w:w="11080"/>
          </w:cols>
          <w:pgMar w:left="320" w:top="456" w:right="499" w:bottom="1440" w:gutter="0" w:footer="0" w:header="0"/>
        </w:sectPr>
      </w:pPr>
    </w:p>
    <w:p>
      <w:pPr>
        <w:spacing w:after="0" w:line="2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Governance Committee will consider director candidates recommended by shareholders. The Governance Committee will review the qualifications and experience of each recommended candidate using the same criteria for candidates proposed 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Board members, and communicate its decision to the candidate or the person who made the recommendation. Shareholder nominations must be submitted to the Company by the deadlines found on page 101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370840</wp:posOffset>
            </wp:positionV>
            <wp:extent cx="6921500" cy="654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1500" cy="65405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Board Committees</w:t>
      </w:r>
    </w:p>
    <w:p>
      <w:pPr>
        <w:sectPr>
          <w:pgSz w:w="11900" w:h="16838" w:orient="portrait"/>
          <w:cols w:equalWidth="0" w:num="1">
            <w:col w:w="11080"/>
          </w:cols>
          <w:pgMar w:left="320" w:top="456" w:right="499" w:bottom="1440" w:gutter="0" w:footer="0" w:header="0"/>
          <w:type w:val="continuous"/>
        </w:sectPr>
      </w:pPr>
    </w:p>
    <w:p>
      <w:pPr>
        <w:spacing w:after="0" w:line="203"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Your Board of Directors has six standing Committees: Audit, Compensation, Executive, Finance, Governance, and Risk and Cybersecurity. The key responsibilities, recent activities, and focus areas of each Committee, together with their current membership and the number of meetings held in 2019, are set forth on pages 19 to 21 of this Proxy Statement. Each Committee Chair meets regularly with management during the year to discuss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Committee business, shape agendas, and facilitate efficient meetings. The Chairman, Ms. Barra, attends all Committee meetings to serve as a resource and identify topics requiring the full Board’s attention. The Board has determined that each member of the Audit, Compensation, Finance, Governance, and Risk and Cybersecurity Committees is independent according to NYSE listing standards and our Corporate Governance Guidelines.</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6" w:lineRule="exact"/>
        <w:rPr>
          <w:sz w:val="20"/>
          <w:szCs w:val="20"/>
          <w:color w:val="auto"/>
        </w:rPr>
      </w:pPr>
    </w:p>
    <w:p>
      <w:pPr>
        <w:ind w:left="700" w:hanging="533"/>
        <w:spacing w:after="0"/>
        <w:tabs>
          <w:tab w:leader="none" w:pos="700" w:val="left"/>
        </w:tabs>
        <w:numPr>
          <w:ilvl w:val="0"/>
          <w:numId w:val="15"/>
        </w:numPr>
        <w:rPr>
          <w:rFonts w:ascii="Arial" w:cs="Arial" w:eastAsia="Arial" w:hAnsi="Arial"/>
          <w:sz w:val="24"/>
          <w:szCs w:val="24"/>
          <w:color w:val="0033A0"/>
        </w:rPr>
      </w:pPr>
      <w:r>
        <w:rPr>
          <w:rFonts w:ascii="Arial" w:cs="Arial" w:eastAsia="Arial" w:hAnsi="Arial"/>
          <w:sz w:val="24"/>
          <w:szCs w:val="24"/>
          <w:color w:val="auto"/>
        </w:rPr>
        <w:t>Board and Committee Meetings and Attendance</w:t>
      </w:r>
    </w:p>
    <w:p>
      <w:pPr>
        <w:sectPr>
          <w:pgSz w:w="11900" w:h="16838" w:orient="portrait"/>
          <w:cols w:equalWidth="0" w:num="1">
            <w:col w:w="11080"/>
          </w:cols>
          <w:pgMar w:left="320" w:top="456" w:right="499" w:bottom="1440" w:gutter="0" w:footer="0" w:header="0"/>
          <w:type w:val="continuous"/>
        </w:sectPr>
      </w:pPr>
    </w:p>
    <w:p>
      <w:pPr>
        <w:spacing w:after="0" w:line="21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In 2019, your Board held eight meetings, and average director attendance at Board and Committee meetings was 97%. Each director standing for re-election attended at least 81% of the total meetings of the Board and Committees on which he or she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served in 2019. Directors are encouraged to attend our Annual Meeting of Shareholders, which is held in conjunction with a regularly scheduled Board meeting. All directors then in office attended the 2019 Annual Meeting.</w:t>
      </w:r>
    </w:p>
    <w:p>
      <w:pPr>
        <w:spacing w:after="0" w:line="413"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55" w:lineRule="exact"/>
        <w:rPr>
          <w:sz w:val="20"/>
          <w:szCs w:val="20"/>
          <w:color w:val="auto"/>
        </w:rPr>
      </w:pPr>
    </w:p>
    <w:p>
      <w:pPr>
        <w:ind w:left="700" w:hanging="533"/>
        <w:spacing w:after="0"/>
        <w:tabs>
          <w:tab w:leader="none" w:pos="700" w:val="left"/>
        </w:tabs>
        <w:numPr>
          <w:ilvl w:val="0"/>
          <w:numId w:val="16"/>
        </w:numPr>
        <w:rPr>
          <w:rFonts w:ascii="Arial" w:cs="Arial" w:eastAsia="Arial" w:hAnsi="Arial"/>
          <w:sz w:val="25"/>
          <w:szCs w:val="25"/>
          <w:color w:val="0033A0"/>
        </w:rPr>
      </w:pPr>
      <w:r>
        <w:rPr>
          <w:rFonts w:ascii="Arial" w:cs="Arial" w:eastAsia="Arial" w:hAnsi="Arial"/>
          <w:sz w:val="25"/>
          <w:szCs w:val="25"/>
          <w:color w:val="auto"/>
        </w:rPr>
        <w:t>Executive Sessions</w:t>
      </w:r>
    </w:p>
    <w:p>
      <w:pPr>
        <w:spacing w:after="0" w:line="20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Independent directors have an opportunity to meet in executive session without management present as part of each regularly scheduled Board and Committee meeting. Executive sessions are chaired by our Independent Lead Director, Mr. Solso, or the respective Committee Chair.</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During executive sessions of the Board, the independent directors may review CEO performance, compensation, and succession planning;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key enterprise risks; future Board agendas and the flow of information to directors; corporate governance matters; and any other matters of importance to the Company raised during a meeting or otherwise presented by the independent directors.</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The non-management directors of the Board, all of whom are independent, met in executive session six times in 2019.</w:t>
      </w:r>
    </w:p>
    <w:p>
      <w:pPr>
        <w:spacing w:after="0" w:line="4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67" w:lineRule="exact"/>
        <w:rPr>
          <w:sz w:val="20"/>
          <w:szCs w:val="20"/>
          <w:color w:val="auto"/>
        </w:rPr>
      </w:pPr>
    </w:p>
    <w:p>
      <w:pPr>
        <w:ind w:left="700" w:hanging="533"/>
        <w:spacing w:after="0"/>
        <w:tabs>
          <w:tab w:leader="none" w:pos="700" w:val="left"/>
        </w:tabs>
        <w:numPr>
          <w:ilvl w:val="0"/>
          <w:numId w:val="17"/>
        </w:numPr>
        <w:rPr>
          <w:rFonts w:ascii="Arial" w:cs="Arial" w:eastAsia="Arial" w:hAnsi="Arial"/>
          <w:sz w:val="25"/>
          <w:szCs w:val="25"/>
          <w:color w:val="0033A0"/>
        </w:rPr>
      </w:pPr>
      <w:r>
        <w:rPr>
          <w:rFonts w:ascii="Arial" w:cs="Arial" w:eastAsia="Arial" w:hAnsi="Arial"/>
          <w:sz w:val="25"/>
          <w:szCs w:val="25"/>
          <w:color w:val="auto"/>
        </w:rPr>
        <w:t>Access to Outside Advisors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The Board and each Board Committee can select and retain</w:t>
      </w:r>
    </w:p>
    <w:p>
      <w:pPr>
        <w:ind w:left="160"/>
        <w:spacing w:after="0"/>
        <w:rPr>
          <w:sz w:val="20"/>
          <w:szCs w:val="20"/>
          <w:color w:val="auto"/>
        </w:rPr>
      </w:pPr>
      <w:r>
        <w:rPr>
          <w:rFonts w:ascii="Arial" w:cs="Arial" w:eastAsia="Arial" w:hAnsi="Arial"/>
          <w:sz w:val="20"/>
          <w:szCs w:val="20"/>
          <w:color w:val="auto"/>
        </w:rPr>
        <w:t>the service of outside advisors at the Company’s expense.</w:t>
      </w:r>
    </w:p>
    <w:p>
      <w:pPr>
        <w:sectPr>
          <w:pgSz w:w="11900" w:h="16838" w:orient="portrait"/>
          <w:cols w:equalWidth="0" w:num="1">
            <w:col w:w="11080"/>
          </w:cols>
          <w:pgMar w:left="320" w:top="456" w:right="499" w:bottom="1440" w:gutter="0" w:footer="0" w:header="0"/>
          <w:type w:val="continuous"/>
        </w:sect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18 </w:t>
      </w:r>
      <w:r>
        <w:rPr>
          <w:sz w:val="1"/>
          <w:szCs w:val="1"/>
          <w:color w:val="auto"/>
        </w:rPr>
        <w:drawing>
          <wp:inline distT="0" distB="0" distL="0" distR="0">
            <wp:extent cx="6793865" cy="1016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263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53"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FFFFFF"/>
        </w:rPr>
        <w:t>AUDIT</w:t>
      </w:r>
    </w:p>
    <w:p>
      <w:pPr>
        <w:spacing w:after="0" w:line="118" w:lineRule="exact"/>
        <w:rPr>
          <w:sz w:val="20"/>
          <w:szCs w:val="20"/>
          <w:color w:val="auto"/>
        </w:rPr>
      </w:pPr>
    </w:p>
    <w:p>
      <w:pPr>
        <w:ind w:left="2380" w:right="100"/>
        <w:spacing w:after="0" w:line="235" w:lineRule="auto"/>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Thomas M. Schoewe</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(Chair), Wesley G. Bush, Linda R. Gooden, Jane L. Mendillo, and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-502920</wp:posOffset>
            </wp:positionV>
            <wp:extent cx="662305" cy="662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20"/>
                <w:szCs w:val="20"/>
                <w:b w:val="1"/>
                <w:bCs w:val="1"/>
                <w:color w:val="0033A0"/>
              </w:rPr>
              <w:t>Thomas M. Schoewe,</w:t>
            </w:r>
          </w:p>
        </w:tc>
        <w:tc>
          <w:tcPr>
            <w:tcW w:w="2360" w:type="dxa"/>
            <w:vAlign w:val="bottom"/>
            <w:vMerge w:val="restart"/>
          </w:tcPr>
          <w:p>
            <w:pPr>
              <w:ind w:left="120"/>
              <w:spacing w:after="0"/>
              <w:rPr>
                <w:sz w:val="20"/>
                <w:szCs w:val="20"/>
                <w:color w:val="auto"/>
              </w:rPr>
            </w:pPr>
            <w:r>
              <w:rPr>
                <w:rFonts w:ascii="Arial" w:cs="Arial" w:eastAsia="Arial" w:hAnsi="Arial"/>
                <w:sz w:val="20"/>
                <w:szCs w:val="20"/>
                <w:b w:val="1"/>
                <w:bCs w:val="1"/>
                <w:i w:val="1"/>
                <w:iCs w:val="1"/>
                <w:color w:val="00A1DF"/>
                <w:w w:val="96"/>
              </w:rPr>
              <w:t>Meetings held in 2019: 6</w:t>
            </w:r>
          </w:p>
        </w:tc>
        <w:tc>
          <w:tcPr>
            <w:tcW w:w="0" w:type="dxa"/>
            <w:vAlign w:val="bottom"/>
          </w:tcPr>
          <w:p>
            <w:pPr>
              <w:spacing w:after="0"/>
              <w:rPr>
                <w:sz w:val="1"/>
                <w:szCs w:val="1"/>
                <w:color w:val="auto"/>
              </w:rPr>
            </w:pPr>
          </w:p>
        </w:tc>
      </w:tr>
      <w:tr>
        <w:trPr>
          <w:trHeight w:val="193"/>
        </w:trPr>
        <w:tc>
          <w:tcPr>
            <w:tcW w:w="2100" w:type="dxa"/>
            <w:vAlign w:val="bottom"/>
            <w:vMerge w:val="restart"/>
          </w:tcPr>
          <w:p>
            <w:pPr>
              <w:spacing w:after="0"/>
              <w:rPr>
                <w:sz w:val="20"/>
                <w:szCs w:val="20"/>
                <w:color w:val="auto"/>
              </w:rPr>
            </w:pPr>
            <w:r>
              <w:rPr>
                <w:rFonts w:ascii="Arial" w:cs="Arial" w:eastAsia="Arial" w:hAnsi="Arial"/>
                <w:sz w:val="20"/>
                <w:szCs w:val="20"/>
                <w:b w:val="1"/>
                <w:bCs w:val="1"/>
                <w:color w:val="0033A0"/>
              </w:rPr>
              <w:t>Chair</w:t>
            </w:r>
          </w:p>
        </w:tc>
        <w:tc>
          <w:tcPr>
            <w:tcW w:w="2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10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33375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Key Responsibilities</w:t>
      </w:r>
    </w:p>
    <w:p>
      <w:pPr>
        <w:spacing w:after="0" w:line="21" w:lineRule="exact"/>
        <w:rPr>
          <w:sz w:val="20"/>
          <w:szCs w:val="20"/>
          <w:color w:val="auto"/>
        </w:rPr>
      </w:pPr>
    </w:p>
    <w:p>
      <w:pPr>
        <w:jc w:val="both"/>
        <w:ind w:left="380" w:hanging="213"/>
        <w:spacing w:after="0" w:line="25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Monitors</w:t>
      </w:r>
      <w:r>
        <w:rPr>
          <w:sz w:val="20"/>
          <w:szCs w:val="20"/>
          <w:color w:val="auto"/>
        </w:rPr>
        <w:t xml:space="preserve"> </w:t>
      </w:r>
      <w:r>
        <w:rPr>
          <w:rFonts w:ascii="Arial" w:cs="Arial" w:eastAsia="Arial" w:hAnsi="Arial"/>
          <w:sz w:val="20"/>
          <w:szCs w:val="20"/>
          <w:color w:val="auto"/>
        </w:rPr>
        <w:t>the effectiveness of GM’s financial reporting processes and systems and disclosure and internal controls;</w:t>
      </w:r>
    </w:p>
    <w:p>
      <w:pPr>
        <w:spacing w:after="0" w:line="222"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Selects and engages GM’s external auditors and reviews</w:t>
      </w:r>
      <w:r>
        <w:rPr>
          <w:rFonts w:ascii="Arial" w:cs="Arial" w:eastAsia="Arial" w:hAnsi="Arial"/>
          <w:sz w:val="20"/>
          <w:szCs w:val="20"/>
          <w:color w:val="00A1DF"/>
        </w:rPr>
        <w:t xml:space="preserve"> </w:t>
      </w:r>
      <w:r>
        <w:rPr>
          <w:rFonts w:ascii="Arial" w:cs="Arial" w:eastAsia="Arial" w:hAnsi="Arial"/>
          <w:sz w:val="20"/>
          <w:szCs w:val="20"/>
          <w:color w:val="000000"/>
        </w:rPr>
        <w:t>and evaluates the audit process;</w:t>
      </w: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and evaluates the scope and performance of the</w:t>
      </w:r>
      <w:r>
        <w:rPr>
          <w:rFonts w:ascii="Arial" w:cs="Arial" w:eastAsia="Arial" w:hAnsi="Arial"/>
          <w:sz w:val="20"/>
          <w:szCs w:val="20"/>
          <w:color w:val="00A1DF"/>
        </w:rPr>
        <w:t xml:space="preserve"> </w:t>
      </w:r>
      <w:r>
        <w:rPr>
          <w:rFonts w:ascii="Arial" w:cs="Arial" w:eastAsia="Arial" w:hAnsi="Arial"/>
          <w:sz w:val="20"/>
          <w:szCs w:val="20"/>
          <w:color w:val="000000"/>
        </w:rPr>
        <w:t>internal audit function;</w:t>
      </w: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Facilitates ongoing communications about GM’s financial</w:t>
      </w:r>
      <w:r>
        <w:rPr>
          <w:rFonts w:ascii="Arial" w:cs="Arial" w:eastAsia="Arial" w:hAnsi="Arial"/>
          <w:sz w:val="20"/>
          <w:szCs w:val="20"/>
          <w:color w:val="00A1DF"/>
        </w:rPr>
        <w:t xml:space="preserve"> </w:t>
      </w:r>
      <w:r>
        <w:rPr>
          <w:rFonts w:ascii="Arial" w:cs="Arial" w:eastAsia="Arial" w:hAnsi="Arial"/>
          <w:sz w:val="20"/>
          <w:szCs w:val="20"/>
          <w:color w:val="000000"/>
        </w:rPr>
        <w:t>position and affairs between the Board and the external auditors, GM’s financial and senior management, and GM’s internal audit staff;</w:t>
      </w:r>
    </w:p>
    <w:p>
      <w:pPr>
        <w:spacing w:after="0" w:line="1"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GM’s policies and procedures regarding ethics</w:t>
      </w:r>
      <w:r>
        <w:rPr>
          <w:rFonts w:ascii="Arial" w:cs="Arial" w:eastAsia="Arial" w:hAnsi="Arial"/>
          <w:sz w:val="20"/>
          <w:szCs w:val="20"/>
          <w:color w:val="00A1DF"/>
        </w:rPr>
        <w:t xml:space="preserve"> </w:t>
      </w:r>
      <w:r>
        <w:rPr>
          <w:rFonts w:ascii="Arial" w:cs="Arial" w:eastAsia="Arial" w:hAnsi="Arial"/>
          <w:sz w:val="20"/>
          <w:szCs w:val="20"/>
          <w:color w:val="000000"/>
        </w:rPr>
        <w:t>and compliance; and</w:t>
      </w:r>
    </w:p>
    <w:p>
      <w:pPr>
        <w:jc w:val="center"/>
        <w:ind w:left="160"/>
        <w:spacing w:after="0" w:line="262"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 the preparation of the Audit Committee Report</w:t>
      </w:r>
      <w:r>
        <w:rPr>
          <w:rFonts w:ascii="Arial" w:cs="Arial" w:eastAsia="Arial" w:hAnsi="Arial"/>
          <w:sz w:val="20"/>
          <w:szCs w:val="20"/>
          <w:color w:val="00A1DF"/>
        </w:rPr>
        <w:t xml:space="preserve"> </w:t>
      </w:r>
      <w:r>
        <w:rPr>
          <w:rFonts w:ascii="Arial" w:cs="Arial" w:eastAsia="Arial" w:hAnsi="Arial"/>
          <w:sz w:val="20"/>
          <w:szCs w:val="20"/>
          <w:color w:val="000000"/>
        </w:rPr>
        <w:t>and related disclosures for the annual Proxy Statement.</w:t>
      </w:r>
    </w:p>
    <w:p>
      <w:pPr>
        <w:spacing w:after="0" w:line="13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The Board has determined that all members of the Audit Committee meet heightened independence and qualification criteria and are financially literate in accordance with the NYSE Corporate Governance Standards and SEC rules, and that Mr. Bush, Ms. Gooden, Ms. Mendillo, and Mr. Schoewe are each qualified as an “audit committee financial expert” as defined by the SEC.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Recent Activities and Key Focus Areas</w:t>
      </w:r>
    </w:p>
    <w:p>
      <w:pPr>
        <w:spacing w:after="0" w:line="21" w:lineRule="exact"/>
        <w:rPr>
          <w:sz w:val="20"/>
          <w:szCs w:val="20"/>
          <w:color w:val="auto"/>
        </w:rPr>
      </w:pPr>
    </w:p>
    <w:p>
      <w:pPr>
        <w:jc w:val="both"/>
        <w:ind w:left="380" w:hanging="213"/>
        <w:spacing w:after="0" w:line="249"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Oversaw the implementation of a suite of new systems</w:t>
      </w:r>
      <w:r>
        <w:rPr>
          <w:rFonts w:ascii="Arial" w:cs="Arial" w:eastAsia="Arial" w:hAnsi="Arial"/>
          <w:sz w:val="20"/>
          <w:szCs w:val="20"/>
          <w:color w:val="00A1DF"/>
        </w:rPr>
        <w:t xml:space="preserve"> </w:t>
      </w:r>
      <w:r>
        <w:rPr>
          <w:rFonts w:ascii="Arial" w:cs="Arial" w:eastAsia="Arial" w:hAnsi="Arial"/>
          <w:sz w:val="20"/>
          <w:szCs w:val="20"/>
          <w:color w:val="000000"/>
        </w:rPr>
        <w:t>and system architectures designed to enhance the Company’s close, consolidation, planning, and reporting processes</w:t>
      </w:r>
    </w:p>
    <w:p>
      <w:pPr>
        <w:spacing w:after="0" w:line="3"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Reviewed the financial impacts and disclosures relating to</w:t>
      </w:r>
      <w:r>
        <w:rPr>
          <w:rFonts w:ascii="Arial" w:cs="Arial" w:eastAsia="Arial" w:hAnsi="Arial"/>
          <w:sz w:val="20"/>
          <w:szCs w:val="20"/>
          <w:color w:val="00A1DF"/>
        </w:rPr>
        <w:t xml:space="preserve"> </w:t>
      </w:r>
      <w:r>
        <w:rPr>
          <w:rFonts w:ascii="Arial" w:cs="Arial" w:eastAsia="Arial" w:hAnsi="Arial"/>
          <w:sz w:val="20"/>
          <w:szCs w:val="20"/>
          <w:color w:val="000000"/>
        </w:rPr>
        <w:t>the 2019 labor disruption and GM’s continued transformational cost savings actions</w:t>
      </w:r>
    </w:p>
    <w:p>
      <w:pPr>
        <w:spacing w:after="0" w:line="1" w:lineRule="exact"/>
        <w:rPr>
          <w:sz w:val="20"/>
          <w:szCs w:val="20"/>
          <w:color w:val="auto"/>
        </w:rPr>
      </w:pPr>
    </w:p>
    <w:p>
      <w:pPr>
        <w:jc w:val="both"/>
        <w:ind w:left="38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Reviewed the expected impact on GM Financial of the</w:t>
      </w:r>
      <w:r>
        <w:rPr>
          <w:rFonts w:ascii="Arial" w:cs="Arial" w:eastAsia="Arial" w:hAnsi="Arial"/>
          <w:sz w:val="20"/>
          <w:szCs w:val="20"/>
          <w:color w:val="00A1DF"/>
        </w:rPr>
        <w:t xml:space="preserve"> </w:t>
      </w:r>
      <w:r>
        <w:rPr>
          <w:rFonts w:ascii="Arial" w:cs="Arial" w:eastAsia="Arial" w:hAnsi="Arial"/>
          <w:sz w:val="20"/>
          <w:szCs w:val="20"/>
          <w:color w:val="000000"/>
        </w:rPr>
        <w:t>adoption of a new accounting standard relating to the recognition of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793865" cy="101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FFFFFF"/>
        </w:rPr>
        <w:t>EXECUTIVE COMPENSATION</w:t>
      </w:r>
    </w:p>
    <w:p>
      <w:pPr>
        <w:spacing w:after="0" w:line="118" w:lineRule="exact"/>
        <w:rPr>
          <w:sz w:val="20"/>
          <w:szCs w:val="20"/>
          <w:color w:val="auto"/>
        </w:rPr>
      </w:pPr>
    </w:p>
    <w:p>
      <w:pPr>
        <w:ind w:left="2180"/>
        <w:spacing w:after="0"/>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662305" cy="662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2305" cy="662305"/>
                    </a:xfrm>
                    <a:prstGeom prst="rect">
                      <a:avLst/>
                    </a:prstGeom>
                    <a:noFill/>
                  </pic:spPr>
                </pic:pic>
              </a:graphicData>
            </a:graphic>
          </wp:anchor>
        </w:drawing>
      </w:r>
    </w:p>
    <w:p>
      <w:pPr>
        <w:ind w:left="2180"/>
        <w:spacing w:after="0" w:line="231" w:lineRule="auto"/>
        <w:rPr>
          <w:sz w:val="20"/>
          <w:szCs w:val="20"/>
          <w:color w:val="auto"/>
        </w:rPr>
      </w:pPr>
      <w:r>
        <w:rPr>
          <w:rFonts w:ascii="Arial" w:cs="Arial" w:eastAsia="Arial" w:hAnsi="Arial"/>
          <w:sz w:val="20"/>
          <w:szCs w:val="20"/>
          <w:color w:val="auto"/>
        </w:rPr>
        <w:t>(Chair), Wesley G. Bush, Joseph</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Jimenez, and Patricia F. Russo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0033A0"/>
        </w:rPr>
        <w:t>Carol M. Stephenson,</w:t>
      </w:r>
    </w:p>
    <w:p>
      <w:pPr>
        <w:spacing w:after="0" w:line="8"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b w:val="1"/>
          <w:bCs w:val="1"/>
          <w:color w:val="0033A0"/>
        </w:rPr>
        <w:t>Chair</w:t>
      </w:r>
      <w:r>
        <w:rPr>
          <w:sz w:val="20"/>
          <w:szCs w:val="20"/>
          <w:color w:val="auto"/>
        </w:rPr>
        <w:tab/>
      </w:r>
      <w:r>
        <w:rPr>
          <w:rFonts w:ascii="Arial" w:cs="Arial" w:eastAsia="Arial" w:hAnsi="Arial"/>
          <w:sz w:val="20"/>
          <w:szCs w:val="20"/>
          <w:b w:val="1"/>
          <w:bCs w:val="1"/>
          <w:i w:val="1"/>
          <w:iCs w:val="1"/>
          <w:color w:val="00A1DF"/>
        </w:rPr>
        <w:t>Meetings held in 2019: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51435</wp:posOffset>
            </wp:positionV>
            <wp:extent cx="33883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Key Responsibilities</w:t>
      </w:r>
    </w:p>
    <w:p>
      <w:pPr>
        <w:spacing w:after="0" w:line="21" w:lineRule="exact"/>
        <w:rPr>
          <w:sz w:val="20"/>
          <w:szCs w:val="20"/>
          <w:color w:val="auto"/>
        </w:rPr>
      </w:pPr>
    </w:p>
    <w:p>
      <w:pPr>
        <w:jc w:val="both"/>
        <w:ind w:left="200" w:right="20" w:hanging="213"/>
        <w:spacing w:after="0" w:line="24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the Company’s executive compensation policies,</w:t>
      </w:r>
      <w:r>
        <w:rPr>
          <w:rFonts w:ascii="Arial" w:cs="Arial" w:eastAsia="Arial" w:hAnsi="Arial"/>
          <w:sz w:val="20"/>
          <w:szCs w:val="20"/>
          <w:color w:val="00A1DF"/>
        </w:rPr>
        <w:t xml:space="preserve"> </w:t>
      </w:r>
      <w:r>
        <w:rPr>
          <w:rFonts w:ascii="Arial" w:cs="Arial" w:eastAsia="Arial" w:hAnsi="Arial"/>
          <w:sz w:val="20"/>
          <w:szCs w:val="20"/>
          <w:color w:val="000000"/>
        </w:rPr>
        <w:t>practices, and programs;</w:t>
      </w:r>
    </w:p>
    <w:p>
      <w:pPr>
        <w:spacing w:after="0" w:line="1" w:lineRule="exact"/>
        <w:rPr>
          <w:sz w:val="20"/>
          <w:szCs w:val="20"/>
          <w:color w:val="auto"/>
        </w:rPr>
      </w:pPr>
    </w:p>
    <w:p>
      <w:pPr>
        <w:jc w:val="both"/>
        <w:ind w:left="200" w:right="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and approves corporate goals and objectives for</w:t>
      </w:r>
      <w:r>
        <w:rPr>
          <w:rFonts w:ascii="Arial" w:cs="Arial" w:eastAsia="Arial" w:hAnsi="Arial"/>
          <w:sz w:val="20"/>
          <w:szCs w:val="20"/>
          <w:color w:val="00A1DF"/>
        </w:rPr>
        <w:t xml:space="preserve"> </w:t>
      </w:r>
      <w:r>
        <w:rPr>
          <w:rFonts w:ascii="Arial" w:cs="Arial" w:eastAsia="Arial" w:hAnsi="Arial"/>
          <w:sz w:val="20"/>
          <w:szCs w:val="20"/>
          <w:color w:val="000000"/>
        </w:rPr>
        <w:t>compensation, evaluates performance (along with the full Board), and determines compensation levels for the Chairman and CEO;</w:t>
      </w:r>
    </w:p>
    <w:p>
      <w:pPr>
        <w:spacing w:after="0" w:line="1" w:lineRule="exact"/>
        <w:rPr>
          <w:sz w:val="20"/>
          <w:szCs w:val="20"/>
          <w:color w:val="auto"/>
        </w:rPr>
      </w:pPr>
    </w:p>
    <w:p>
      <w:pPr>
        <w:jc w:val="both"/>
        <w:ind w:left="200" w:right="20" w:hanging="213"/>
        <w:spacing w:after="0" w:line="264" w:lineRule="auto"/>
        <w:rPr>
          <w:sz w:val="20"/>
          <w:szCs w:val="20"/>
          <w:color w:val="auto"/>
        </w:rPr>
      </w:pPr>
      <w:r>
        <w:rPr>
          <w:rFonts w:ascii="Arial" w:cs="Arial" w:eastAsia="Arial" w:hAnsi="Arial"/>
          <w:sz w:val="19"/>
          <w:szCs w:val="19"/>
          <w:color w:val="00A1DF"/>
        </w:rPr>
        <w:t xml:space="preserve">u </w:t>
      </w:r>
      <w:r>
        <w:rPr>
          <w:rFonts w:ascii="Arial" w:cs="Arial" w:eastAsia="Arial" w:hAnsi="Arial"/>
          <w:sz w:val="19"/>
          <w:szCs w:val="19"/>
          <w:color w:val="000000"/>
        </w:rPr>
        <w:t>Reviews and approves compensation of NEOs, executive</w:t>
      </w:r>
      <w:r>
        <w:rPr>
          <w:rFonts w:ascii="Arial" w:cs="Arial" w:eastAsia="Arial" w:hAnsi="Arial"/>
          <w:sz w:val="19"/>
          <w:szCs w:val="19"/>
          <w:color w:val="00A1DF"/>
        </w:rPr>
        <w:t xml:space="preserve"> </w:t>
      </w:r>
      <w:r>
        <w:rPr>
          <w:rFonts w:ascii="Arial" w:cs="Arial" w:eastAsia="Arial" w:hAnsi="Arial"/>
          <w:sz w:val="19"/>
          <w:szCs w:val="19"/>
          <w:color w:val="000000"/>
        </w:rPr>
        <w:t>officers, and other senior leaders under its purview;</w:t>
      </w:r>
    </w:p>
    <w:p>
      <w:pPr>
        <w:spacing w:after="0" w:line="1" w:lineRule="exact"/>
        <w:rPr>
          <w:sz w:val="20"/>
          <w:szCs w:val="20"/>
          <w:color w:val="auto"/>
        </w:rPr>
      </w:pPr>
    </w:p>
    <w:p>
      <w:pPr>
        <w:jc w:val="both"/>
        <w:ind w:left="200" w:right="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compensation policies and practices so that the</w:t>
      </w:r>
      <w:r>
        <w:rPr>
          <w:rFonts w:ascii="Arial" w:cs="Arial" w:eastAsia="Arial" w:hAnsi="Arial"/>
          <w:sz w:val="20"/>
          <w:szCs w:val="20"/>
          <w:color w:val="00A1DF"/>
        </w:rPr>
        <w:t xml:space="preserve"> </w:t>
      </w:r>
      <w:r>
        <w:rPr>
          <w:rFonts w:ascii="Arial" w:cs="Arial" w:eastAsia="Arial" w:hAnsi="Arial"/>
          <w:sz w:val="20"/>
          <w:szCs w:val="20"/>
          <w:color w:val="000000"/>
        </w:rPr>
        <w:t>plans do not encourage unnecessary or excessive risks; and</w:t>
      </w:r>
    </w:p>
    <w:p>
      <w:pPr>
        <w:spacing w:after="0" w:line="1" w:lineRule="exact"/>
        <w:rPr>
          <w:sz w:val="20"/>
          <w:szCs w:val="20"/>
          <w:color w:val="auto"/>
        </w:rPr>
      </w:pPr>
    </w:p>
    <w:p>
      <w:pPr>
        <w:jc w:val="both"/>
        <w:ind w:left="200" w:right="2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the Company’s compensation policies and practices that promote diversity and inclusion.</w:t>
      </w:r>
    </w:p>
    <w:p>
      <w:pPr>
        <w:spacing w:after="0" w:line="14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The Board has determined that all members of the Compensation Committee meet heightened independence and qualification criteria in accordance with NYSE listing standards and SEC rules. The Compensation Committee’s charter permits the Committee to delegate its authority to members of management and also form and delegate authority to subcommittees consisting of one or more members when it deems it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Recent Activities and Key Focus Areas</w:t>
      </w:r>
    </w:p>
    <w:p>
      <w:pPr>
        <w:spacing w:after="0" w:line="21" w:lineRule="exact"/>
        <w:rPr>
          <w:sz w:val="20"/>
          <w:szCs w:val="20"/>
          <w:color w:val="auto"/>
        </w:rPr>
      </w:pPr>
    </w:p>
    <w:p>
      <w:pPr>
        <w:jc w:val="both"/>
        <w:ind w:left="200" w:right="20" w:hanging="213"/>
        <w:spacing w:after="0" w:line="249"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Conducted a competitive process for the selection of the</w:t>
      </w:r>
      <w:r>
        <w:rPr>
          <w:rFonts w:ascii="Arial" w:cs="Arial" w:eastAsia="Arial" w:hAnsi="Arial"/>
          <w:sz w:val="20"/>
          <w:szCs w:val="20"/>
          <w:color w:val="00A1DF"/>
        </w:rPr>
        <w:t xml:space="preserve"> </w:t>
      </w:r>
      <w:r>
        <w:rPr>
          <w:rFonts w:ascii="Arial" w:cs="Arial" w:eastAsia="Arial" w:hAnsi="Arial"/>
          <w:sz w:val="20"/>
          <w:szCs w:val="20"/>
          <w:color w:val="000000"/>
        </w:rPr>
        <w:t>Company’s new compensation consultant, Frederic W. Cook &amp; Co.</w:t>
      </w:r>
    </w:p>
    <w:p>
      <w:pPr>
        <w:spacing w:after="0" w:line="1" w:lineRule="exact"/>
        <w:rPr>
          <w:sz w:val="20"/>
          <w:szCs w:val="20"/>
          <w:color w:val="auto"/>
        </w:rPr>
      </w:pPr>
    </w:p>
    <w:p>
      <w:pPr>
        <w:jc w:val="both"/>
        <w:ind w:left="200" w:right="20" w:hanging="213"/>
        <w:spacing w:after="0" w:line="253"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Performed</w:t>
      </w:r>
      <w:r>
        <w:rPr>
          <w:sz w:val="20"/>
          <w:szCs w:val="20"/>
          <w:color w:val="auto"/>
        </w:rPr>
        <w:t xml:space="preserve"> </w:t>
      </w:r>
      <w:r>
        <w:rPr>
          <w:rFonts w:ascii="Arial" w:cs="Arial" w:eastAsia="Arial" w:hAnsi="Arial"/>
          <w:sz w:val="20"/>
          <w:szCs w:val="20"/>
          <w:color w:val="auto"/>
        </w:rPr>
        <w:t>an in-depth review and analysis of GM’s incentive compensation plans, adding performance caps to GM’s LTIP in order to further align interests with those of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19</w:t>
      </w:r>
    </w:p>
    <w:p>
      <w:pPr>
        <w:sectPr>
          <w:pgSz w:w="11900" w:h="16838" w:orient="portrait"/>
          <w:cols w:equalWidth="0" w:num="2">
            <w:col w:w="5420" w:space="440"/>
            <w:col w:w="5240"/>
          </w:cols>
          <w:pgMar w:left="320" w:top="456" w:right="4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407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6"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FFFFFF"/>
        </w:rPr>
        <w:t>FINANCE</w:t>
      </w:r>
    </w:p>
    <w:p>
      <w:pPr>
        <w:spacing w:after="0" w:line="251" w:lineRule="exact"/>
        <w:rPr>
          <w:sz w:val="20"/>
          <w:szCs w:val="20"/>
          <w:color w:val="auto"/>
        </w:rPr>
      </w:pPr>
    </w:p>
    <w:p>
      <w:pPr>
        <w:ind w:left="2140" w:right="160"/>
        <w:spacing w:after="0" w:line="235" w:lineRule="auto"/>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Joseph Jimenez (Chair),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Wesley G. Bush, Jane L. Mendillo, Patricia F. Russo, and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-502920</wp:posOffset>
            </wp:positionV>
            <wp:extent cx="704850" cy="704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4850" cy="704850"/>
                    </a:xfrm>
                    <a:prstGeom prst="rect">
                      <a:avLst/>
                    </a:prstGeom>
                    <a:noFill/>
                  </pic:spPr>
                </pic:pic>
              </a:graphicData>
            </a:graphic>
          </wp:anchor>
        </w:drawing>
      </w: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b w:val="1"/>
                <w:bCs w:val="1"/>
                <w:color w:val="0033A0"/>
              </w:rPr>
              <w:t>Joseph Jimenez,</w:t>
            </w:r>
          </w:p>
        </w:tc>
        <w:tc>
          <w:tcPr>
            <w:tcW w:w="2460" w:type="dxa"/>
            <w:vAlign w:val="bottom"/>
            <w:vMerge w:val="restart"/>
          </w:tcPr>
          <w:p>
            <w:pPr>
              <w:ind w:left="200"/>
              <w:spacing w:after="0"/>
              <w:rPr>
                <w:sz w:val="20"/>
                <w:szCs w:val="20"/>
                <w:color w:val="auto"/>
              </w:rPr>
            </w:pPr>
            <w:r>
              <w:rPr>
                <w:rFonts w:ascii="Arial" w:cs="Arial" w:eastAsia="Arial" w:hAnsi="Arial"/>
                <w:sz w:val="20"/>
                <w:szCs w:val="20"/>
                <w:b w:val="1"/>
                <w:bCs w:val="1"/>
                <w:i w:val="1"/>
                <w:iCs w:val="1"/>
                <w:color w:val="00A1DF"/>
                <w:w w:val="97"/>
              </w:rPr>
              <w:t>Meetings held in 2019: 4</w:t>
            </w:r>
          </w:p>
        </w:tc>
        <w:tc>
          <w:tcPr>
            <w:tcW w:w="0" w:type="dxa"/>
            <w:vAlign w:val="bottom"/>
          </w:tcPr>
          <w:p>
            <w:pPr>
              <w:spacing w:after="0"/>
              <w:rPr>
                <w:sz w:val="1"/>
                <w:szCs w:val="1"/>
                <w:color w:val="auto"/>
              </w:rPr>
            </w:pPr>
          </w:p>
        </w:tc>
      </w:tr>
      <w:tr>
        <w:trPr>
          <w:trHeight w:val="126"/>
        </w:trPr>
        <w:tc>
          <w:tcPr>
            <w:tcW w:w="1780" w:type="dxa"/>
            <w:vAlign w:val="bottom"/>
            <w:vMerge w:val="restart"/>
          </w:tcPr>
          <w:p>
            <w:pPr>
              <w:spacing w:after="0"/>
              <w:rPr>
                <w:sz w:val="20"/>
                <w:szCs w:val="20"/>
                <w:color w:val="auto"/>
              </w:rPr>
            </w:pPr>
            <w:r>
              <w:rPr>
                <w:rFonts w:ascii="Arial" w:cs="Arial" w:eastAsia="Arial" w:hAnsi="Arial"/>
                <w:sz w:val="20"/>
                <w:szCs w:val="20"/>
                <w:b w:val="1"/>
                <w:bCs w:val="1"/>
                <w:color w:val="0033A0"/>
              </w:rPr>
              <w:t>Chair</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80" w:type="dxa"/>
            <w:vAlign w:val="bottom"/>
            <w:vMerge w:val="continue"/>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337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Key Responsibilities</w:t>
      </w:r>
    </w:p>
    <w:p>
      <w:pPr>
        <w:spacing w:after="0" w:line="21" w:lineRule="exact"/>
        <w:rPr>
          <w:sz w:val="20"/>
          <w:szCs w:val="20"/>
          <w:color w:val="auto"/>
        </w:rPr>
      </w:pPr>
    </w:p>
    <w:p>
      <w:pPr>
        <w:jc w:val="both"/>
        <w:ind w:left="380" w:hanging="213"/>
        <w:spacing w:after="0" w:line="24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financial policies, strategies, and capital structure;</w:t>
      </w:r>
    </w:p>
    <w:p>
      <w:pPr>
        <w:spacing w:after="0" w:line="239" w:lineRule="exact"/>
        <w:rPr>
          <w:sz w:val="20"/>
          <w:szCs w:val="20"/>
          <w:color w:val="auto"/>
        </w:rPr>
      </w:pPr>
    </w:p>
    <w:p>
      <w:pPr>
        <w:jc w:val="both"/>
        <w:ind w:left="380" w:hanging="213"/>
        <w:spacing w:after="0" w:line="264" w:lineRule="auto"/>
        <w:rPr>
          <w:sz w:val="20"/>
          <w:szCs w:val="20"/>
          <w:color w:val="auto"/>
        </w:rPr>
      </w:pPr>
      <w:r>
        <w:rPr>
          <w:rFonts w:ascii="Arial" w:cs="Arial" w:eastAsia="Arial" w:hAnsi="Arial"/>
          <w:sz w:val="19"/>
          <w:szCs w:val="19"/>
          <w:color w:val="00A1DF"/>
        </w:rPr>
        <w:t xml:space="preserve">u </w:t>
      </w:r>
      <w:r>
        <w:rPr>
          <w:rFonts w:ascii="Arial" w:cs="Arial" w:eastAsia="Arial" w:hAnsi="Arial"/>
          <w:sz w:val="19"/>
          <w:szCs w:val="19"/>
          <w:color w:val="000000"/>
        </w:rPr>
        <w:t>Reviews the Company’s cash management policies and</w:t>
      </w:r>
      <w:r>
        <w:rPr>
          <w:rFonts w:ascii="Arial" w:cs="Arial" w:eastAsia="Arial" w:hAnsi="Arial"/>
          <w:sz w:val="19"/>
          <w:szCs w:val="19"/>
          <w:color w:val="00A1DF"/>
        </w:rPr>
        <w:t xml:space="preserve"> </w:t>
      </w:r>
      <w:r>
        <w:rPr>
          <w:rFonts w:ascii="Arial" w:cs="Arial" w:eastAsia="Arial" w:hAnsi="Arial"/>
          <w:sz w:val="19"/>
          <w:szCs w:val="19"/>
          <w:color w:val="000000"/>
        </w:rPr>
        <w:t>proposed capital plans, capital expenditures, dividend actions, stock repurchase programs, issuances of debt or equity securities, and credit facility and other borrowings;</w:t>
      </w:r>
    </w:p>
    <w:p>
      <w:pPr>
        <w:spacing w:after="0" w:line="2"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any significant financial exposures and risks, including foreign exchange, interest rate, and commodities exposures, and the use of derivatives to hedge those exposures; and</w:t>
      </w:r>
    </w:p>
    <w:p>
      <w:pPr>
        <w:spacing w:after="0" w:line="1" w:lineRule="exact"/>
        <w:rPr>
          <w:sz w:val="20"/>
          <w:szCs w:val="20"/>
          <w:color w:val="auto"/>
        </w:rPr>
      </w:pPr>
    </w:p>
    <w:p>
      <w:pPr>
        <w:jc w:val="both"/>
        <w:ind w:left="380" w:hanging="213"/>
        <w:spacing w:after="0" w:line="254"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the regulatory compliance, administration, financing, investment performance, risk and liability profile, and funding of the Company’s pension obligations.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Recent Activities and Key Focus Areas</w:t>
      </w:r>
    </w:p>
    <w:p>
      <w:pPr>
        <w:spacing w:after="0" w:line="21" w:lineRule="exact"/>
        <w:rPr>
          <w:sz w:val="20"/>
          <w:szCs w:val="20"/>
          <w:color w:val="auto"/>
        </w:rPr>
      </w:pPr>
    </w:p>
    <w:p>
      <w:pPr>
        <w:jc w:val="both"/>
        <w:ind w:left="380" w:hanging="213"/>
        <w:spacing w:after="0" w:line="24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Oversaw $1.2 billion fundraising effort by Cruise, including</w:t>
      </w:r>
      <w:r>
        <w:rPr>
          <w:rFonts w:ascii="Arial" w:cs="Arial" w:eastAsia="Arial" w:hAnsi="Arial"/>
          <w:sz w:val="20"/>
          <w:szCs w:val="20"/>
          <w:color w:val="00A1DF"/>
        </w:rPr>
        <w:t xml:space="preserve"> </w:t>
      </w:r>
      <w:r>
        <w:rPr>
          <w:rFonts w:ascii="Arial" w:cs="Arial" w:eastAsia="Arial" w:hAnsi="Arial"/>
          <w:sz w:val="20"/>
          <w:szCs w:val="20"/>
          <w:color w:val="000000"/>
        </w:rPr>
        <w:t>a $0.7 billion investment by GM</w:t>
      </w:r>
    </w:p>
    <w:p>
      <w:pPr>
        <w:spacing w:after="0" w:line="1"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Monitored</w:t>
      </w:r>
      <w:r>
        <w:rPr>
          <w:sz w:val="20"/>
          <w:szCs w:val="20"/>
          <w:color w:val="auto"/>
        </w:rPr>
        <w:t xml:space="preserve"> </w:t>
      </w:r>
      <w:r>
        <w:rPr>
          <w:rFonts w:ascii="Arial" w:cs="Arial" w:eastAsia="Arial" w:hAnsi="Arial"/>
          <w:sz w:val="20"/>
          <w:szCs w:val="20"/>
          <w:color w:val="auto"/>
        </w:rPr>
        <w:t>efforts to create structural cost savings and increased focus on cash flow</w:t>
      </w:r>
    </w:p>
    <w:p>
      <w:pPr>
        <w:jc w:val="both"/>
        <w:ind w:left="38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Monitored</w:t>
      </w:r>
      <w:r>
        <w:rPr>
          <w:sz w:val="20"/>
          <w:szCs w:val="20"/>
          <w:color w:val="auto"/>
        </w:rPr>
        <w:t xml:space="preserve"> </w:t>
      </w:r>
      <w:r>
        <w:rPr>
          <w:rFonts w:ascii="Arial" w:cs="Arial" w:eastAsia="Arial" w:hAnsi="Arial"/>
          <w:sz w:val="20"/>
          <w:szCs w:val="20"/>
          <w:color w:val="auto"/>
        </w:rPr>
        <w:t>GM’s disciplined Capital Allocation Strategy, particularly in response to the 2019 labor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20</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GOVERNANCE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CORPORATE RESPONSIBILITY</w:t>
      </w:r>
    </w:p>
    <w:p>
      <w:pPr>
        <w:spacing w:after="0" w:line="107" w:lineRule="exact"/>
        <w:rPr>
          <w:sz w:val="20"/>
          <w:szCs w:val="20"/>
          <w:color w:val="auto"/>
        </w:rPr>
      </w:pPr>
    </w:p>
    <w:p>
      <w:pPr>
        <w:ind w:left="1960" w:right="100"/>
        <w:spacing w:after="0" w:line="239" w:lineRule="auto"/>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Patricia F. Russo (Chair),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Jane L. Mendillo, Theodore Solso, and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04850" cy="704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4850" cy="7048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20"/>
                <w:szCs w:val="20"/>
                <w:b w:val="1"/>
                <w:bCs w:val="1"/>
                <w:color w:val="0033A0"/>
              </w:rPr>
              <w:t>Patricia F. Russo,</w:t>
            </w:r>
          </w:p>
        </w:tc>
        <w:tc>
          <w:tcPr>
            <w:tcW w:w="2420" w:type="dxa"/>
            <w:vAlign w:val="bottom"/>
            <w:vMerge w:val="restart"/>
          </w:tcPr>
          <w:p>
            <w:pPr>
              <w:ind w:left="160"/>
              <w:spacing w:after="0"/>
              <w:rPr>
                <w:sz w:val="20"/>
                <w:szCs w:val="20"/>
                <w:color w:val="auto"/>
              </w:rPr>
            </w:pPr>
            <w:r>
              <w:rPr>
                <w:rFonts w:ascii="Arial" w:cs="Arial" w:eastAsia="Arial" w:hAnsi="Arial"/>
                <w:sz w:val="20"/>
                <w:szCs w:val="20"/>
                <w:b w:val="1"/>
                <w:bCs w:val="1"/>
                <w:i w:val="1"/>
                <w:iCs w:val="1"/>
                <w:color w:val="00A1DF"/>
                <w:w w:val="97"/>
              </w:rPr>
              <w:t>Meetings held in 2019: 4</w:t>
            </w:r>
          </w:p>
        </w:tc>
        <w:tc>
          <w:tcPr>
            <w:tcW w:w="0" w:type="dxa"/>
            <w:vAlign w:val="bottom"/>
          </w:tcPr>
          <w:p>
            <w:pPr>
              <w:spacing w:after="0"/>
              <w:rPr>
                <w:sz w:val="1"/>
                <w:szCs w:val="1"/>
                <w:color w:val="auto"/>
              </w:rPr>
            </w:pPr>
          </w:p>
        </w:tc>
      </w:tr>
      <w:tr>
        <w:trPr>
          <w:trHeight w:val="259"/>
        </w:trPr>
        <w:tc>
          <w:tcPr>
            <w:tcW w:w="1800" w:type="dxa"/>
            <w:vAlign w:val="bottom"/>
          </w:tcPr>
          <w:p>
            <w:pPr>
              <w:spacing w:after="0"/>
              <w:rPr>
                <w:sz w:val="20"/>
                <w:szCs w:val="20"/>
                <w:color w:val="auto"/>
              </w:rPr>
            </w:pPr>
            <w:r>
              <w:rPr>
                <w:rFonts w:ascii="Arial" w:cs="Arial" w:eastAsia="Arial" w:hAnsi="Arial"/>
                <w:sz w:val="20"/>
                <w:szCs w:val="20"/>
                <w:b w:val="1"/>
                <w:bCs w:val="1"/>
                <w:color w:val="0033A0"/>
              </w:rPr>
              <w:t>Chair</w:t>
            </w:r>
          </w:p>
        </w:tc>
        <w:tc>
          <w:tcPr>
            <w:tcW w:w="2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39370</wp:posOffset>
            </wp:positionV>
            <wp:extent cx="33801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Key Responsibilities</w:t>
      </w:r>
    </w:p>
    <w:p>
      <w:pPr>
        <w:spacing w:after="0" w:line="21" w:lineRule="exact"/>
        <w:rPr>
          <w:sz w:val="20"/>
          <w:szCs w:val="20"/>
          <w:color w:val="auto"/>
        </w:rPr>
      </w:pPr>
    </w:p>
    <w:p>
      <w:pPr>
        <w:jc w:val="both"/>
        <w:ind w:left="220" w:hanging="213"/>
        <w:spacing w:after="0" w:line="249"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the Company’s corporate governance framework, including all significant governance policies and procedures;</w:t>
      </w:r>
    </w:p>
    <w:p>
      <w:pPr>
        <w:spacing w:after="0" w:line="1" w:lineRule="exact"/>
        <w:rPr>
          <w:sz w:val="20"/>
          <w:szCs w:val="20"/>
          <w:color w:val="auto"/>
        </w:rPr>
      </w:pP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Monitors</w:t>
      </w:r>
      <w:r>
        <w:rPr>
          <w:sz w:val="20"/>
          <w:szCs w:val="20"/>
          <w:color w:val="auto"/>
        </w:rPr>
        <w:t xml:space="preserve"> </w:t>
      </w:r>
      <w:r>
        <w:rPr>
          <w:rFonts w:ascii="Arial" w:cs="Arial" w:eastAsia="Arial" w:hAnsi="Arial"/>
          <w:sz w:val="20"/>
          <w:szCs w:val="20"/>
          <w:color w:val="auto"/>
        </w:rPr>
        <w:t>Company policies and strategies related to corporate responsibility, sustainability, and political contributions and lobbying activities;</w:t>
      </w:r>
    </w:p>
    <w:p>
      <w:pPr>
        <w:spacing w:after="0" w:line="1" w:lineRule="exact"/>
        <w:rPr>
          <w:sz w:val="20"/>
          <w:szCs w:val="20"/>
          <w:color w:val="auto"/>
        </w:rPr>
      </w:pP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the appropriate composition of the Board and</w:t>
      </w:r>
      <w:r>
        <w:rPr>
          <w:rFonts w:ascii="Arial" w:cs="Arial" w:eastAsia="Arial" w:hAnsi="Arial"/>
          <w:sz w:val="20"/>
          <w:szCs w:val="20"/>
          <w:color w:val="00A1DF"/>
        </w:rPr>
        <w:t xml:space="preserve"> </w:t>
      </w:r>
      <w:r>
        <w:rPr>
          <w:rFonts w:ascii="Arial" w:cs="Arial" w:eastAsia="Arial" w:hAnsi="Arial"/>
          <w:sz w:val="20"/>
          <w:szCs w:val="20"/>
          <w:color w:val="000000"/>
        </w:rPr>
        <w:t>recommends director nominees;</w:t>
      </w: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Monitors</w:t>
      </w:r>
      <w:r>
        <w:rPr>
          <w:sz w:val="20"/>
          <w:szCs w:val="20"/>
          <w:color w:val="auto"/>
        </w:rPr>
        <w:t xml:space="preserve"> </w:t>
      </w:r>
      <w:r>
        <w:rPr>
          <w:rFonts w:ascii="Arial" w:cs="Arial" w:eastAsia="Arial" w:hAnsi="Arial"/>
          <w:sz w:val="20"/>
          <w:szCs w:val="20"/>
          <w:color w:val="auto"/>
        </w:rPr>
        <w:t>the self-evaluation process of the Board and Committees;</w:t>
      </w: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Recommends compensation of non-employee directors to</w:t>
      </w:r>
      <w:r>
        <w:rPr>
          <w:rFonts w:ascii="Arial" w:cs="Arial" w:eastAsia="Arial" w:hAnsi="Arial"/>
          <w:sz w:val="20"/>
          <w:szCs w:val="20"/>
          <w:color w:val="00A1DF"/>
        </w:rPr>
        <w:t xml:space="preserve"> </w:t>
      </w:r>
      <w:r>
        <w:rPr>
          <w:rFonts w:ascii="Arial" w:cs="Arial" w:eastAsia="Arial" w:hAnsi="Arial"/>
          <w:sz w:val="20"/>
          <w:szCs w:val="20"/>
          <w:color w:val="000000"/>
        </w:rPr>
        <w:t>the Board; and</w:t>
      </w:r>
    </w:p>
    <w:p>
      <w:pPr>
        <w:jc w:val="both"/>
        <w:ind w:left="220" w:hanging="213"/>
        <w:spacing w:after="0" w:line="262"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and approves related party transactions and any</w:t>
      </w:r>
      <w:r>
        <w:rPr>
          <w:rFonts w:ascii="Arial" w:cs="Arial" w:eastAsia="Arial" w:hAnsi="Arial"/>
          <w:sz w:val="20"/>
          <w:szCs w:val="20"/>
          <w:color w:val="00A1DF"/>
        </w:rPr>
        <w:t xml:space="preserve"> </w:t>
      </w:r>
      <w:r>
        <w:rPr>
          <w:rFonts w:ascii="Arial" w:cs="Arial" w:eastAsia="Arial" w:hAnsi="Arial"/>
          <w:sz w:val="20"/>
          <w:szCs w:val="20"/>
          <w:color w:val="000000"/>
        </w:rPr>
        <w:t>potential Board conflicts of interest, as applicable.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A1DF"/>
        </w:rPr>
        <w:t>Recent Activities and Key Focus Areas</w:t>
      </w:r>
    </w:p>
    <w:p>
      <w:pPr>
        <w:spacing w:after="0" w:line="21" w:lineRule="exact"/>
        <w:rPr>
          <w:sz w:val="20"/>
          <w:szCs w:val="20"/>
          <w:color w:val="auto"/>
        </w:rPr>
      </w:pPr>
    </w:p>
    <w:p>
      <w:pPr>
        <w:jc w:val="both"/>
        <w:ind w:left="220" w:hanging="213"/>
        <w:spacing w:after="0" w:line="24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Guided</w:t>
      </w:r>
      <w:r>
        <w:rPr>
          <w:sz w:val="20"/>
          <w:szCs w:val="20"/>
          <w:color w:val="auto"/>
        </w:rPr>
        <w:t xml:space="preserve"> </w:t>
      </w:r>
      <w:r>
        <w:rPr>
          <w:rFonts w:ascii="Arial" w:cs="Arial" w:eastAsia="Arial" w:hAnsi="Arial"/>
          <w:sz w:val="20"/>
          <w:szCs w:val="20"/>
          <w:color w:val="auto"/>
        </w:rPr>
        <w:t>management through the adoption of the Company’s first virtual annual meeting</w:t>
      </w:r>
    </w:p>
    <w:p>
      <w:pPr>
        <w:spacing w:after="0" w:line="1" w:lineRule="exact"/>
        <w:rPr>
          <w:sz w:val="20"/>
          <w:szCs w:val="20"/>
          <w:color w:val="auto"/>
        </w:rPr>
      </w:pP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Reviewed the Company’s ESG strategy, with a broader</w:t>
      </w:r>
      <w:r>
        <w:rPr>
          <w:rFonts w:ascii="Arial" w:cs="Arial" w:eastAsia="Arial" w:hAnsi="Arial"/>
          <w:sz w:val="20"/>
          <w:szCs w:val="20"/>
          <w:color w:val="00A1DF"/>
        </w:rPr>
        <w:t xml:space="preserve"> </w:t>
      </w:r>
      <w:r>
        <w:rPr>
          <w:rFonts w:ascii="Arial" w:cs="Arial" w:eastAsia="Arial" w:hAnsi="Arial"/>
          <w:sz w:val="20"/>
          <w:szCs w:val="20"/>
          <w:color w:val="000000"/>
        </w:rPr>
        <w:t>focus on corporate purpose and culture and how those attributes align with the Company’s corporate strategy</w:t>
      </w:r>
    </w:p>
    <w:p>
      <w:pPr>
        <w:spacing w:after="0" w:line="1" w:lineRule="exact"/>
        <w:rPr>
          <w:sz w:val="20"/>
          <w:szCs w:val="20"/>
          <w:color w:val="auto"/>
        </w:rPr>
      </w:pPr>
    </w:p>
    <w:p>
      <w:pPr>
        <w:jc w:val="both"/>
        <w:ind w:left="22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Approved amendments to the General Motors Deferred</w:t>
      </w:r>
      <w:r>
        <w:rPr>
          <w:rFonts w:ascii="Arial" w:cs="Arial" w:eastAsia="Arial" w:hAnsi="Arial"/>
          <w:sz w:val="20"/>
          <w:szCs w:val="20"/>
          <w:color w:val="00A1DF"/>
        </w:rPr>
        <w:t xml:space="preserve"> </w:t>
      </w:r>
      <w:r>
        <w:rPr>
          <w:rFonts w:ascii="Arial" w:cs="Arial" w:eastAsia="Arial" w:hAnsi="Arial"/>
          <w:sz w:val="20"/>
          <w:szCs w:val="20"/>
          <w:color w:val="000000"/>
        </w:rPr>
        <w:t>Compensation Plan for Non-Employee Directors to align with changed practices and changes in tax law</w:t>
      </w:r>
    </w:p>
    <w:p>
      <w:pPr>
        <w:spacing w:after="0" w:line="1" w:lineRule="exact"/>
        <w:rPr>
          <w:sz w:val="20"/>
          <w:szCs w:val="20"/>
          <w:color w:val="auto"/>
        </w:rPr>
      </w:pPr>
    </w:p>
    <w:p>
      <w:pPr>
        <w:jc w:val="both"/>
        <w:ind w:left="22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Revised process for Board and Committee evaluations to</w:t>
      </w:r>
      <w:r>
        <w:rPr>
          <w:rFonts w:ascii="Arial" w:cs="Arial" w:eastAsia="Arial" w:hAnsi="Arial"/>
          <w:sz w:val="20"/>
          <w:szCs w:val="20"/>
          <w:color w:val="00A1DF"/>
        </w:rPr>
        <w:t xml:space="preserve"> </w:t>
      </w:r>
      <w:r>
        <w:rPr>
          <w:rFonts w:ascii="Arial" w:cs="Arial" w:eastAsia="Arial" w:hAnsi="Arial"/>
          <w:sz w:val="20"/>
          <w:szCs w:val="20"/>
          <w:color w:val="000000"/>
        </w:rPr>
        <w:t>improve the quality of feedback and enhance transparency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90170</wp:posOffset>
            </wp:positionV>
            <wp:extent cx="6793865" cy="101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ectPr>
          <w:pgSz w:w="11900" w:h="16838" w:orient="portrait"/>
          <w:cols w:equalWidth="0" w:num="2">
            <w:col w:w="5420" w:space="440"/>
            <w:col w:w="522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263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26352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53"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FFFFFF"/>
        </w:rPr>
        <w:t>RISK AND CYBERSECURITY</w:t>
      </w:r>
    </w:p>
    <w:p>
      <w:pPr>
        <w:spacing w:after="0" w:line="118" w:lineRule="exact"/>
        <w:rPr>
          <w:sz w:val="20"/>
          <w:szCs w:val="20"/>
          <w:color w:val="auto"/>
        </w:rPr>
      </w:pPr>
    </w:p>
    <w:p>
      <w:pPr>
        <w:ind w:left="2040" w:right="200"/>
        <w:spacing w:after="0" w:line="235" w:lineRule="auto"/>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Linda R. Gooden (Chair),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Joseph Jimenez, Judith A. Miscik, Thomas M. Schoewe, and Devin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-502920</wp:posOffset>
            </wp:positionV>
            <wp:extent cx="704850" cy="704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4850" cy="704850"/>
                    </a:xfrm>
                    <a:prstGeom prst="rect">
                      <a:avLst/>
                    </a:prstGeom>
                    <a:noFill/>
                  </pic:spPr>
                </pic:pic>
              </a:graphicData>
            </a:graphic>
          </wp:anchor>
        </w:drawing>
      </w: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20"/>
                <w:szCs w:val="20"/>
                <w:b w:val="1"/>
                <w:bCs w:val="1"/>
                <w:color w:val="0033A0"/>
              </w:rPr>
              <w:t>Linda R. Gooden,</w:t>
            </w:r>
          </w:p>
        </w:tc>
        <w:tc>
          <w:tcPr>
            <w:tcW w:w="2380" w:type="dxa"/>
            <w:vAlign w:val="bottom"/>
            <w:vMerge w:val="restart"/>
          </w:tcPr>
          <w:p>
            <w:pPr>
              <w:ind w:left="120"/>
              <w:spacing w:after="0"/>
              <w:rPr>
                <w:sz w:val="20"/>
                <w:szCs w:val="20"/>
                <w:color w:val="auto"/>
              </w:rPr>
            </w:pPr>
            <w:r>
              <w:rPr>
                <w:rFonts w:ascii="Arial" w:cs="Arial" w:eastAsia="Arial" w:hAnsi="Arial"/>
                <w:sz w:val="20"/>
                <w:szCs w:val="20"/>
                <w:b w:val="1"/>
                <w:bCs w:val="1"/>
                <w:i w:val="1"/>
                <w:iCs w:val="1"/>
                <w:color w:val="00A1DF"/>
                <w:w w:val="97"/>
              </w:rPr>
              <w:t>Meetings held in 2019: 4</w:t>
            </w:r>
          </w:p>
        </w:tc>
        <w:tc>
          <w:tcPr>
            <w:tcW w:w="0" w:type="dxa"/>
            <w:vAlign w:val="bottom"/>
          </w:tcPr>
          <w:p>
            <w:pPr>
              <w:spacing w:after="0"/>
              <w:rPr>
                <w:sz w:val="1"/>
                <w:szCs w:val="1"/>
                <w:color w:val="auto"/>
              </w:rPr>
            </w:pPr>
          </w:p>
        </w:tc>
      </w:tr>
      <w:tr>
        <w:trPr>
          <w:trHeight w:val="126"/>
        </w:trPr>
        <w:tc>
          <w:tcPr>
            <w:tcW w:w="1760" w:type="dxa"/>
            <w:vAlign w:val="bottom"/>
            <w:vMerge w:val="restart"/>
          </w:tcPr>
          <w:p>
            <w:pPr>
              <w:spacing w:after="0"/>
              <w:rPr>
                <w:sz w:val="20"/>
                <w:szCs w:val="20"/>
                <w:color w:val="auto"/>
              </w:rPr>
            </w:pPr>
            <w:r>
              <w:rPr>
                <w:rFonts w:ascii="Arial" w:cs="Arial" w:eastAsia="Arial" w:hAnsi="Arial"/>
                <w:sz w:val="20"/>
                <w:szCs w:val="20"/>
                <w:b w:val="1"/>
                <w:bCs w:val="1"/>
                <w:color w:val="0033A0"/>
              </w:rPr>
              <w:t>Chair</w:t>
            </w: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3375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37560" cy="8255"/>
                    </a:xfrm>
                    <a:prstGeom prst="rect">
                      <a:avLst/>
                    </a:prstGeom>
                    <a:noFill/>
                  </pic:spPr>
                </pic:pic>
              </a:graphicData>
            </a:graphic>
          </wp:anchor>
        </w:drawing>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Key Responsibilities</w:t>
      </w:r>
    </w:p>
    <w:p>
      <w:pPr>
        <w:spacing w:after="0" w:line="21" w:lineRule="exact"/>
        <w:rPr>
          <w:sz w:val="20"/>
          <w:szCs w:val="20"/>
          <w:color w:val="auto"/>
        </w:rPr>
      </w:pPr>
    </w:p>
    <w:p>
      <w:pPr>
        <w:jc w:val="both"/>
        <w:ind w:left="380" w:hanging="213"/>
        <w:spacing w:after="0" w:line="248"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the Company’s key strategic, enterprise, and cybersecurity risks;</w:t>
      </w:r>
    </w:p>
    <w:p>
      <w:pPr>
        <w:spacing w:after="0" w:line="1"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privacy risk, including potential impact to the Company’s employees, customers, and stakeholders;</w:t>
      </w: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 the Company’s risk management framework and</w:t>
      </w:r>
      <w:r>
        <w:rPr>
          <w:rFonts w:ascii="Arial" w:cs="Arial" w:eastAsia="Arial" w:hAnsi="Arial"/>
          <w:sz w:val="20"/>
          <w:szCs w:val="20"/>
          <w:color w:val="00A1DF"/>
        </w:rPr>
        <w:t xml:space="preserve"> </w:t>
      </w:r>
      <w:r>
        <w:rPr>
          <w:rFonts w:ascii="Arial" w:cs="Arial" w:eastAsia="Arial" w:hAnsi="Arial"/>
          <w:sz w:val="20"/>
          <w:szCs w:val="20"/>
          <w:color w:val="000000"/>
        </w:rPr>
        <w:t>management’s implementation of risk policies, procedures, and governance to assess their effectiveness;</w:t>
      </w:r>
    </w:p>
    <w:p>
      <w:pPr>
        <w:spacing w:after="0" w:line="1" w:lineRule="exact"/>
        <w:rPr>
          <w:sz w:val="20"/>
          <w:szCs w:val="20"/>
          <w:color w:val="auto"/>
        </w:rPr>
      </w:pPr>
    </w:p>
    <w:p>
      <w:pPr>
        <w:jc w:val="both"/>
        <w:ind w:left="380" w:hanging="213"/>
        <w:spacing w:after="0" w:line="253"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management’s evaluation of strategic and operating risks, including risk concentrations, mitigating measures, and the types and levels of risk that are acceptable in the pursuit and protection of shareholder value; and</w:t>
      </w:r>
    </w:p>
    <w:p>
      <w:pPr>
        <w:spacing w:after="0" w:line="234" w:lineRule="exact"/>
        <w:rPr>
          <w:sz w:val="20"/>
          <w:szCs w:val="20"/>
          <w:color w:val="auto"/>
        </w:rPr>
      </w:pPr>
    </w:p>
    <w:p>
      <w:pPr>
        <w:jc w:val="both"/>
        <w:ind w:left="380" w:hanging="213"/>
        <w:spacing w:after="0" w:line="254"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Reviews</w:t>
      </w:r>
      <w:r>
        <w:rPr>
          <w:sz w:val="20"/>
          <w:szCs w:val="20"/>
          <w:color w:val="auto"/>
        </w:rPr>
        <w:t xml:space="preserve"> </w:t>
      </w:r>
      <w:r>
        <w:rPr>
          <w:rFonts w:ascii="Arial" w:cs="Arial" w:eastAsia="Arial" w:hAnsi="Arial"/>
          <w:sz w:val="20"/>
          <w:szCs w:val="20"/>
          <w:color w:val="auto"/>
        </w:rPr>
        <w:t>the Company’s risk culture, including the integration of risk management into the Company’s behaviors, decision making, and processes.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0A1DF"/>
        </w:rPr>
        <w:t>Recent Activities and Key Focus Areas</w:t>
      </w:r>
    </w:p>
    <w:p>
      <w:pPr>
        <w:spacing w:after="0" w:line="21" w:lineRule="exact"/>
        <w:rPr>
          <w:sz w:val="20"/>
          <w:szCs w:val="20"/>
          <w:color w:val="auto"/>
        </w:rPr>
      </w:pPr>
    </w:p>
    <w:p>
      <w:pPr>
        <w:jc w:val="both"/>
        <w:ind w:left="380" w:hanging="213"/>
        <w:spacing w:after="0" w:line="249"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Reviewed</w:t>
      </w:r>
      <w:r>
        <w:rPr>
          <w:sz w:val="20"/>
          <w:szCs w:val="20"/>
          <w:color w:val="auto"/>
        </w:rPr>
        <w:t xml:space="preserve"> </w:t>
      </w:r>
      <w:r>
        <w:rPr>
          <w:rFonts w:ascii="Arial" w:cs="Arial" w:eastAsia="Arial" w:hAnsi="Arial"/>
          <w:sz w:val="20"/>
          <w:szCs w:val="20"/>
          <w:color w:val="auto"/>
        </w:rPr>
        <w:t>the results of the annual enterprise risk assessment, including the relationships between the 2020 enterprise risks and those risks that were more likely to influence or trigger others</w:t>
      </w:r>
    </w:p>
    <w:p>
      <w:pPr>
        <w:spacing w:after="0" w:line="3" w:lineRule="exact"/>
        <w:rPr>
          <w:sz w:val="20"/>
          <w:szCs w:val="20"/>
          <w:color w:val="auto"/>
        </w:rPr>
      </w:pPr>
    </w:p>
    <w:p>
      <w:pPr>
        <w:jc w:val="both"/>
        <w:ind w:left="380" w:hanging="213"/>
        <w:spacing w:after="0" w:line="251"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Monitored compliance with California Consumer Privacy</w:t>
      </w:r>
      <w:r>
        <w:rPr>
          <w:rFonts w:ascii="Arial" w:cs="Arial" w:eastAsia="Arial" w:hAnsi="Arial"/>
          <w:sz w:val="20"/>
          <w:szCs w:val="20"/>
          <w:color w:val="00A1DF"/>
        </w:rPr>
        <w:t xml:space="preserve"> </w:t>
      </w:r>
      <w:r>
        <w:rPr>
          <w:rFonts w:ascii="Arial" w:cs="Arial" w:eastAsia="Arial" w:hAnsi="Arial"/>
          <w:sz w:val="20"/>
          <w:szCs w:val="20"/>
          <w:color w:val="000000"/>
        </w:rPr>
        <w:t>Act</w:t>
      </w:r>
    </w:p>
    <w:p>
      <w:pPr>
        <w:jc w:val="both"/>
        <w:ind w:left="38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Reviewed GM’s information security program, which seeks</w:t>
      </w:r>
      <w:r>
        <w:rPr>
          <w:rFonts w:ascii="Arial" w:cs="Arial" w:eastAsia="Arial" w:hAnsi="Arial"/>
          <w:sz w:val="20"/>
          <w:szCs w:val="20"/>
          <w:color w:val="00A1DF"/>
        </w:rPr>
        <w:t xml:space="preserve"> </w:t>
      </w:r>
      <w:r>
        <w:rPr>
          <w:rFonts w:ascii="Arial" w:cs="Arial" w:eastAsia="Arial" w:hAnsi="Arial"/>
          <w:sz w:val="20"/>
          <w:szCs w:val="20"/>
          <w:color w:val="000000"/>
        </w:rPr>
        <w:t>to secure a complex, global IT ecosystem that collectively support’s GM’s global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793865" cy="101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FFFFFF"/>
        </w:rPr>
        <w:t>EXECUTIVE</w:t>
      </w:r>
    </w:p>
    <w:p>
      <w:pPr>
        <w:spacing w:after="0" w:line="118" w:lineRule="exact"/>
        <w:rPr>
          <w:sz w:val="20"/>
          <w:szCs w:val="20"/>
          <w:color w:val="auto"/>
        </w:rPr>
      </w:pPr>
    </w:p>
    <w:p>
      <w:pPr>
        <w:ind w:left="1860" w:right="320"/>
        <w:spacing w:after="0" w:line="232" w:lineRule="auto"/>
        <w:rPr>
          <w:sz w:val="20"/>
          <w:szCs w:val="20"/>
          <w:color w:val="auto"/>
        </w:rPr>
      </w:pPr>
      <w:r>
        <w:rPr>
          <w:rFonts w:ascii="Arial" w:cs="Arial" w:eastAsia="Arial" w:hAnsi="Arial"/>
          <w:sz w:val="20"/>
          <w:szCs w:val="20"/>
          <w:b w:val="1"/>
          <w:bCs w:val="1"/>
          <w:i w:val="1"/>
          <w:iCs w:val="1"/>
          <w:color w:val="00A1DF"/>
        </w:rPr>
        <w:t xml:space="preserve">Members: </w:t>
      </w:r>
      <w:r>
        <w:rPr>
          <w:rFonts w:ascii="Arial" w:cs="Arial" w:eastAsia="Arial" w:hAnsi="Arial"/>
          <w:sz w:val="20"/>
          <w:szCs w:val="20"/>
          <w:color w:val="000000"/>
        </w:rPr>
        <w:t>Mary T. Barra (Chair),</w:t>
      </w:r>
      <w:r>
        <w:rPr>
          <w:rFonts w:ascii="Arial" w:cs="Arial" w:eastAsia="Arial" w:hAnsi="Arial"/>
          <w:sz w:val="20"/>
          <w:szCs w:val="20"/>
          <w:b w:val="1"/>
          <w:bCs w:val="1"/>
          <w:i w:val="1"/>
          <w:iCs w:val="1"/>
          <w:color w:val="00A1DF"/>
        </w:rPr>
        <w:t xml:space="preserve"> </w:t>
      </w:r>
      <w:r>
        <w:rPr>
          <w:rFonts w:ascii="Arial" w:cs="Arial" w:eastAsia="Arial" w:hAnsi="Arial"/>
          <w:sz w:val="20"/>
          <w:szCs w:val="20"/>
          <w:color w:val="000000"/>
        </w:rPr>
        <w:t>Theodore Solso, Linda R. Gooden, Joseph Jimenez, Patricia F. Russo, Thomas M. Schoewe, and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04850" cy="704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4850" cy="704850"/>
                    </a:xfrm>
                    <a:prstGeom prst="rect">
                      <a:avLst/>
                    </a:prstGeom>
                    <a:noFill/>
                  </pic:spPr>
                </pic:pic>
              </a:graphicData>
            </a:graphic>
          </wp:anchor>
        </w:drawing>
      </w:r>
    </w:p>
    <w:p>
      <w:pPr>
        <w:spacing w:after="0" w:line="139" w:lineRule="exact"/>
        <w:rPr>
          <w:sz w:val="20"/>
          <w:szCs w:val="20"/>
          <w:color w:val="auto"/>
        </w:rPr>
      </w:pPr>
    </w:p>
    <w:p>
      <w:pPr>
        <w:ind w:right="1140"/>
        <w:spacing w:after="0" w:line="254" w:lineRule="auto"/>
        <w:rPr>
          <w:sz w:val="20"/>
          <w:szCs w:val="20"/>
          <w:color w:val="auto"/>
        </w:rPr>
      </w:pPr>
      <w:r>
        <w:rPr>
          <w:rFonts w:ascii="Arial" w:cs="Arial" w:eastAsia="Arial" w:hAnsi="Arial"/>
          <w:sz w:val="20"/>
          <w:szCs w:val="20"/>
          <w:b w:val="1"/>
          <w:bCs w:val="1"/>
          <w:color w:val="0033A0"/>
        </w:rPr>
        <w:t xml:space="preserve">Mary T. Barra, </w:t>
      </w:r>
      <w:r>
        <w:rPr>
          <w:rFonts w:ascii="Arial" w:cs="Arial" w:eastAsia="Arial" w:hAnsi="Arial"/>
          <w:sz w:val="20"/>
          <w:szCs w:val="20"/>
          <w:b w:val="1"/>
          <w:bCs w:val="1"/>
          <w:i w:val="1"/>
          <w:iCs w:val="1"/>
          <w:color w:val="00A1DF"/>
        </w:rPr>
        <w:t>Meetings held in 2019: 0</w:t>
      </w:r>
      <w:r>
        <w:rPr>
          <w:rFonts w:ascii="Arial" w:cs="Arial" w:eastAsia="Arial" w:hAnsi="Arial"/>
          <w:sz w:val="20"/>
          <w:szCs w:val="20"/>
          <w:b w:val="1"/>
          <w:bCs w:val="1"/>
          <w:color w:val="0033A0"/>
        </w:rPr>
        <w:t xml:space="preser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31115</wp:posOffset>
            </wp:positionV>
            <wp:extent cx="33801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119"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Your Board has an Executive Committee composed of the Chairman and CEO, the Independent Lead Director, and the Chairs of all other standing Committees. The Executive Committee is chaired by Ms. Barra, and it can act on certain limited matters for the full Board in intervals between meetings of the Board. The Executive Committee meets as necessary, and all actions by the Executive Committee are reported and ratified at the next succeeding Board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21</w:t>
      </w:r>
    </w:p>
    <w:p>
      <w:pPr>
        <w:sectPr>
          <w:pgSz w:w="11900" w:h="16838" w:orient="portrait"/>
          <w:cols w:equalWidth="0" w:num="2">
            <w:col w:w="5420" w:space="440"/>
            <w:col w:w="5240"/>
          </w:cols>
          <w:pgMar w:left="320" w:top="456" w:right="4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Board and Committee Oversight of Risk</w:t>
      </w:r>
    </w:p>
    <w:p>
      <w:pPr>
        <w:spacing w:after="0" w:line="155" w:lineRule="exact"/>
        <w:rPr>
          <w:sz w:val="20"/>
          <w:szCs w:val="20"/>
          <w:color w:val="auto"/>
        </w:rPr>
      </w:pPr>
    </w:p>
    <w:p>
      <w:pPr>
        <w:ind w:left="700" w:hanging="533"/>
        <w:spacing w:after="0"/>
        <w:tabs>
          <w:tab w:leader="none" w:pos="700" w:val="left"/>
        </w:tabs>
        <w:numPr>
          <w:ilvl w:val="0"/>
          <w:numId w:val="18"/>
        </w:numPr>
        <w:rPr>
          <w:rFonts w:ascii="Arial" w:cs="Arial" w:eastAsia="Arial" w:hAnsi="Arial"/>
          <w:sz w:val="25"/>
          <w:szCs w:val="25"/>
          <w:color w:val="0033A0"/>
        </w:rPr>
      </w:pPr>
      <w:r>
        <w:rPr>
          <w:rFonts w:ascii="Arial" w:cs="Arial" w:eastAsia="Arial" w:hAnsi="Arial"/>
          <w:sz w:val="25"/>
          <w:szCs w:val="25"/>
          <w:color w:val="auto"/>
        </w:rPr>
        <w:t>Role of the Board of Directors</w:t>
      </w:r>
    </w:p>
    <w:p>
      <w:pPr>
        <w:sectPr>
          <w:pgSz w:w="11900" w:h="16838" w:orient="portrait"/>
          <w:cols w:equalWidth="0" w:num="1">
            <w:col w:w="11080"/>
          </w:cols>
          <w:pgMar w:left="320" w:top="456" w:right="499" w:bottom="1440" w:gutter="0" w:footer="0" w:header="0"/>
        </w:sectPr>
      </w:pP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The Board of Directors has overall responsibility for risk oversight and focuses on the most significant risks facing the Company. The Board discharges its risk oversight responsibilities, in part, through delegation to its Committees. The Company’s risk governance is facilitated through a top-down and bottom-up communication structure, with the tone established at the top by Ms. Barra, our Chairman and CEO, who is also our Chief Risk Officer, and other</w:t>
      </w:r>
    </w:p>
    <w:p>
      <w:pPr>
        <w:spacing w:after="0" w:line="200" w:lineRule="exact"/>
        <w:rPr>
          <w:sz w:val="20"/>
          <w:szCs w:val="20"/>
          <w:color w:val="auto"/>
        </w:rPr>
      </w:pPr>
    </w:p>
    <w:p>
      <w:pPr>
        <w:spacing w:after="0" w:line="296"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333333"/>
        </w:rPr>
        <w:t>Top-Down and Bottom-Up Risk Oversight</w:t>
      </w:r>
    </w:p>
    <w:p>
      <w:pPr>
        <w:spacing w:after="0" w:line="8" w:lineRule="exact"/>
        <w:rPr>
          <w:sz w:val="20"/>
          <w:szCs w:val="20"/>
          <w:color w:val="auto"/>
        </w:rPr>
      </w:pPr>
    </w:p>
    <w:p>
      <w:pPr>
        <w:jc w:val="center"/>
        <w:ind w:left="160"/>
        <w:spacing w:after="0"/>
        <w:rPr>
          <w:sz w:val="20"/>
          <w:szCs w:val="20"/>
          <w:color w:val="auto"/>
        </w:rPr>
      </w:pPr>
      <w:r>
        <w:rPr>
          <w:rFonts w:ascii="Arial" w:cs="Arial" w:eastAsia="Arial" w:hAnsi="Arial"/>
          <w:sz w:val="20"/>
          <w:szCs w:val="20"/>
          <w:b w:val="1"/>
          <w:bCs w:val="1"/>
          <w:color w:val="333333"/>
        </w:rPr>
        <w:t>Communication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85725</wp:posOffset>
            </wp:positionV>
            <wp:extent cx="2174240" cy="256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74240" cy="2564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members of management, specifically the Senior Leadership Team. The Senior Leadership Team also utilizes our Risk Advisory Council, an executive-level body with delegates from each business unit and function, to discuss and monitor the most significant enterprise risks in a cross-functional setting. They are tasked with championing risk management practices and integrating them into their functional or regional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464820</wp:posOffset>
            </wp:positionV>
            <wp:extent cx="2853690" cy="5188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53690" cy="5188585"/>
                    </a:xfrm>
                    <a:prstGeom prst="rect">
                      <a:avLst/>
                    </a:prstGeom>
                    <a:noFill/>
                  </pic:spPr>
                </pic:pic>
              </a:graphicData>
            </a:graphic>
          </wp:anchor>
        </w:drawing>
      </w:r>
    </w:p>
    <w:p>
      <w:pPr>
        <w:spacing w:after="0" w:line="137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22 </w:t>
      </w:r>
      <w:r>
        <w:rPr>
          <w:sz w:val="1"/>
          <w:szCs w:val="1"/>
          <w:color w:val="auto"/>
        </w:rPr>
        <w:drawing>
          <wp:inline distT="0" distB="0" distL="0" distR="0">
            <wp:extent cx="6793865" cy="101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9"/>
        </w:numPr>
        <w:rPr>
          <w:rFonts w:ascii="Arial" w:cs="Arial" w:eastAsia="Arial" w:hAnsi="Arial"/>
          <w:sz w:val="25"/>
          <w:szCs w:val="25"/>
          <w:color w:val="0033A0"/>
        </w:rPr>
      </w:pPr>
      <w:r>
        <w:rPr>
          <w:rFonts w:ascii="Arial" w:cs="Arial" w:eastAsia="Arial" w:hAnsi="Arial"/>
          <w:sz w:val="25"/>
          <w:szCs w:val="25"/>
          <w:color w:val="auto"/>
        </w:rPr>
        <w:t>Role of the Board Committees</w:t>
      </w:r>
    </w:p>
    <w:p>
      <w:pPr>
        <w:sectPr>
          <w:pgSz w:w="11900" w:h="16838" w:orient="portrait"/>
          <w:cols w:equalWidth="0" w:num="1">
            <w:col w:w="11100"/>
          </w:cols>
          <w:pgMar w:left="320" w:top="456" w:right="479" w:bottom="1440" w:gutter="0" w:footer="0" w:header="0"/>
        </w:sectPr>
      </w:pP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Each of the Board’s Committees has a critical role to play in the overall execution of the Board’s risk oversight duties. The Board delegates oversight for certain risks to each Committee based on the risk categories relevant to the subject matter of the Committee. The Chair of the Risk and Cybersecurity Committee coordinates with the Chairs of the other Committees to support them in managing the relationship between risk management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policies and practices and their respective oversight responsibilities. The Risk and Cybersecurity Committee also assists the Board by monitoring the overall effectiveness of the Company’s risk management framework and processes. Below is a summary of the key risk oversight responsibilities that the Board has delegated to the Committees.</w:t>
      </w:r>
    </w:p>
    <w:p>
      <w:pPr>
        <w:spacing w:after="0" w:line="627"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170"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FFFFFF"/>
        </w:rPr>
        <w:t>RISK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-144780</wp:posOffset>
            </wp:positionV>
            <wp:extent cx="2080895" cy="288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80895" cy="288925"/>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20"/>
          <w:szCs w:val="20"/>
          <w:b w:val="1"/>
          <w:bCs w:val="1"/>
          <w:color w:val="FFFF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2080895" cy="993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80895" cy="993775"/>
                    </a:xfrm>
                    <a:prstGeom prst="rect">
                      <a:avLst/>
                    </a:prstGeom>
                    <a:noFill/>
                  </pic:spPr>
                </pic:pic>
              </a:graphicData>
            </a:graphic>
          </wp:anchor>
        </w:drawing>
      </w:r>
    </w:p>
    <w:p>
      <w:pPr>
        <w:jc w:val="both"/>
        <w:ind w:left="480" w:hanging="213"/>
        <w:spacing w:after="0" w:line="230"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r>
        <w:rPr>
          <w:sz w:val="20"/>
          <w:szCs w:val="20"/>
          <w:color w:val="auto"/>
        </w:rPr>
        <w:t xml:space="preserve"> </w:t>
      </w:r>
      <w:r>
        <w:rPr>
          <w:rFonts w:ascii="Arial" w:cs="Arial" w:eastAsia="Arial" w:hAnsi="Arial"/>
          <w:sz w:val="20"/>
          <w:szCs w:val="20"/>
          <w:color w:val="auto"/>
        </w:rPr>
        <w:t>risks related to the Company’s key strategic, enterprise, and cybersecurity risks, including workplace and product safety and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282575</wp:posOffset>
            </wp:positionV>
            <wp:extent cx="2080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380" w:type="dxa"/>
            <w:vAlign w:val="bottom"/>
            <w:shd w:val="clear" w:color="auto" w:fill="0033A0"/>
          </w:tcPr>
          <w:p>
            <w:pPr>
              <w:spacing w:after="0"/>
              <w:rPr>
                <w:sz w:val="24"/>
                <w:szCs w:val="24"/>
                <w:color w:val="auto"/>
              </w:rPr>
            </w:pPr>
          </w:p>
        </w:tc>
        <w:tc>
          <w:tcPr>
            <w:tcW w:w="800" w:type="dxa"/>
            <w:vAlign w:val="bottom"/>
            <w:shd w:val="clear" w:color="auto" w:fill="0033A0"/>
          </w:tcPr>
          <w:p>
            <w:pPr>
              <w:jc w:val="center"/>
              <w:spacing w:after="0"/>
              <w:rPr>
                <w:sz w:val="20"/>
                <w:szCs w:val="20"/>
                <w:color w:val="auto"/>
              </w:rPr>
            </w:pPr>
            <w:r>
              <w:rPr>
                <w:rFonts w:ascii="Arial" w:cs="Arial" w:eastAsia="Arial" w:hAnsi="Arial"/>
                <w:sz w:val="20"/>
                <w:szCs w:val="20"/>
                <w:b w:val="1"/>
                <w:bCs w:val="1"/>
                <w:color w:val="FFFFFF"/>
                <w:w w:val="98"/>
              </w:rPr>
              <w:t>AUDIT</w:t>
            </w:r>
          </w:p>
        </w:tc>
        <w:tc>
          <w:tcPr>
            <w:tcW w:w="1280" w:type="dxa"/>
            <w:vAlign w:val="bottom"/>
            <w:shd w:val="clear" w:color="auto" w:fill="0033A0"/>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shd w:val="clear" w:color="auto" w:fill="0033A0"/>
          </w:tcPr>
          <w:p>
            <w:pPr>
              <w:spacing w:after="0"/>
              <w:rPr>
                <w:sz w:val="24"/>
                <w:szCs w:val="24"/>
                <w:color w:val="auto"/>
              </w:rPr>
            </w:pPr>
          </w:p>
        </w:tc>
        <w:tc>
          <w:tcPr>
            <w:tcW w:w="1040" w:type="dxa"/>
            <w:vAlign w:val="bottom"/>
            <w:shd w:val="clear" w:color="auto" w:fill="0033A0"/>
          </w:tcPr>
          <w:p>
            <w:pPr>
              <w:ind w:left="20"/>
              <w:spacing w:after="0"/>
              <w:rPr>
                <w:sz w:val="20"/>
                <w:szCs w:val="20"/>
                <w:color w:val="auto"/>
              </w:rPr>
            </w:pPr>
            <w:r>
              <w:rPr>
                <w:rFonts w:ascii="Arial" w:cs="Arial" w:eastAsia="Arial" w:hAnsi="Arial"/>
                <w:sz w:val="20"/>
                <w:szCs w:val="20"/>
                <w:b w:val="1"/>
                <w:bCs w:val="1"/>
                <w:color w:val="FFFFFF"/>
              </w:rPr>
              <w:t>FINANCE</w:t>
            </w:r>
          </w:p>
        </w:tc>
        <w:tc>
          <w:tcPr>
            <w:tcW w:w="1100" w:type="dxa"/>
            <w:vAlign w:val="bottom"/>
            <w:shd w:val="clear" w:color="auto" w:fill="0033A0"/>
          </w:tcPr>
          <w:p>
            <w:pPr>
              <w:spacing w:after="0"/>
              <w:rPr>
                <w:sz w:val="24"/>
                <w:szCs w:val="24"/>
                <w:color w:val="auto"/>
              </w:rPr>
            </w:pPr>
          </w:p>
        </w:tc>
      </w:tr>
      <w:tr>
        <w:trPr>
          <w:trHeight w:val="76"/>
        </w:trPr>
        <w:tc>
          <w:tcPr>
            <w:tcW w:w="3460" w:type="dxa"/>
            <w:vAlign w:val="bottom"/>
            <w:gridSpan w:val="3"/>
            <w:shd w:val="clear" w:color="auto" w:fill="0033A0"/>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shd w:val="clear" w:color="auto" w:fill="0033A0"/>
          </w:tcPr>
          <w:p>
            <w:pPr>
              <w:spacing w:after="0"/>
              <w:rPr>
                <w:sz w:val="6"/>
                <w:szCs w:val="6"/>
                <w:color w:val="auto"/>
              </w:rPr>
            </w:pPr>
          </w:p>
        </w:tc>
        <w:tc>
          <w:tcPr>
            <w:tcW w:w="1040" w:type="dxa"/>
            <w:vAlign w:val="bottom"/>
            <w:shd w:val="clear" w:color="auto" w:fill="0033A0"/>
          </w:tcPr>
          <w:p>
            <w:pPr>
              <w:spacing w:after="0"/>
              <w:rPr>
                <w:sz w:val="6"/>
                <w:szCs w:val="6"/>
                <w:color w:val="auto"/>
              </w:rPr>
            </w:pPr>
          </w:p>
        </w:tc>
        <w:tc>
          <w:tcPr>
            <w:tcW w:w="1100" w:type="dxa"/>
            <w:vAlign w:val="bottom"/>
            <w:shd w:val="clear" w:color="auto" w:fill="0033A0"/>
          </w:tcPr>
          <w:p>
            <w:pPr>
              <w:spacing w:after="0"/>
              <w:rPr>
                <w:sz w:val="6"/>
                <w:szCs w:val="6"/>
                <w:color w:val="auto"/>
              </w:rPr>
            </w:pPr>
          </w:p>
        </w:tc>
      </w:tr>
      <w:tr>
        <w:trPr>
          <w:trHeight w:val="251"/>
        </w:trPr>
        <w:tc>
          <w:tcPr>
            <w:tcW w:w="3460" w:type="dxa"/>
            <w:vAlign w:val="bottom"/>
            <w:gridSpan w:val="3"/>
            <w:shd w:val="clear" w:color="auto" w:fill="D8F0FA"/>
          </w:tcPr>
          <w:p>
            <w:pPr>
              <w:jc w:val="center"/>
              <w:ind w:left="2"/>
              <w:spacing w:after="0"/>
              <w:rPr>
                <w:sz w:val="20"/>
                <w:szCs w:val="20"/>
                <w:color w:val="auto"/>
              </w:rPr>
            </w:pPr>
            <w:r>
              <w:rPr>
                <w:rFonts w:ascii="Arial" w:cs="Arial" w:eastAsia="Arial" w:hAnsi="Arial"/>
                <w:sz w:val="20"/>
                <w:szCs w:val="20"/>
                <w:color w:val="00A1DF"/>
                <w:w w:val="99"/>
              </w:rPr>
              <w:t xml:space="preserve">u </w:t>
            </w:r>
            <w:r>
              <w:rPr>
                <w:rFonts w:ascii="Arial" w:cs="Arial" w:eastAsia="Arial" w:hAnsi="Arial"/>
                <w:sz w:val="20"/>
                <w:szCs w:val="20"/>
                <w:color w:val="000000"/>
                <w:w w:val="99"/>
              </w:rPr>
              <w:t>Oversees risks related to financial</w:t>
            </w:r>
          </w:p>
        </w:tc>
        <w:tc>
          <w:tcPr>
            <w:tcW w:w="340" w:type="dxa"/>
            <w:vAlign w:val="bottom"/>
          </w:tcPr>
          <w:p>
            <w:pPr>
              <w:spacing w:after="0"/>
              <w:rPr>
                <w:sz w:val="21"/>
                <w:szCs w:val="21"/>
                <w:color w:val="auto"/>
              </w:rPr>
            </w:pPr>
          </w:p>
        </w:tc>
        <w:tc>
          <w:tcPr>
            <w:tcW w:w="1340" w:type="dxa"/>
            <w:vAlign w:val="bottom"/>
            <w:shd w:val="clear" w:color="auto" w:fill="D8F0FA"/>
          </w:tcPr>
          <w:p>
            <w:pPr>
              <w:ind w:left="220"/>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p>
        </w:tc>
        <w:tc>
          <w:tcPr>
            <w:tcW w:w="1040" w:type="dxa"/>
            <w:vAlign w:val="bottom"/>
            <w:shd w:val="clear" w:color="auto" w:fill="D8F0FA"/>
          </w:tcPr>
          <w:p>
            <w:pPr>
              <w:ind w:left="160"/>
              <w:spacing w:after="0"/>
              <w:rPr>
                <w:sz w:val="20"/>
                <w:szCs w:val="20"/>
                <w:color w:val="auto"/>
              </w:rPr>
            </w:pPr>
            <w:r>
              <w:rPr>
                <w:rFonts w:ascii="Arial" w:cs="Arial" w:eastAsia="Arial" w:hAnsi="Arial"/>
                <w:sz w:val="20"/>
                <w:szCs w:val="20"/>
                <w:color w:val="auto"/>
                <w:w w:val="96"/>
              </w:rPr>
              <w:t>significant</w:t>
            </w:r>
          </w:p>
        </w:tc>
        <w:tc>
          <w:tcPr>
            <w:tcW w:w="1100" w:type="dxa"/>
            <w:vAlign w:val="bottom"/>
            <w:shd w:val="clear" w:color="auto" w:fill="D8F0FA"/>
          </w:tcPr>
          <w:p>
            <w:pPr>
              <w:jc w:val="right"/>
              <w:ind w:right="22"/>
              <w:spacing w:after="0"/>
              <w:rPr>
                <w:sz w:val="20"/>
                <w:szCs w:val="20"/>
                <w:color w:val="auto"/>
              </w:rPr>
            </w:pPr>
            <w:r>
              <w:rPr>
                <w:rFonts w:ascii="Arial" w:cs="Arial" w:eastAsia="Arial" w:hAnsi="Arial"/>
                <w:sz w:val="20"/>
                <w:szCs w:val="20"/>
                <w:color w:val="auto"/>
              </w:rPr>
              <w:t>financial</w:t>
            </w:r>
          </w:p>
        </w:tc>
      </w:tr>
      <w:tr>
        <w:trPr>
          <w:trHeight w:val="214"/>
        </w:trPr>
        <w:tc>
          <w:tcPr>
            <w:tcW w:w="1380" w:type="dxa"/>
            <w:vAlign w:val="bottom"/>
            <w:shd w:val="clear" w:color="auto" w:fill="D8F0FA"/>
          </w:tcPr>
          <w:p>
            <w:pPr>
              <w:ind w:left="420"/>
              <w:spacing w:after="0" w:line="214" w:lineRule="exact"/>
              <w:rPr>
                <w:sz w:val="20"/>
                <w:szCs w:val="20"/>
                <w:color w:val="auto"/>
              </w:rPr>
            </w:pPr>
            <w:r>
              <w:rPr>
                <w:rFonts w:ascii="Arial" w:cs="Arial" w:eastAsia="Arial" w:hAnsi="Arial"/>
                <w:sz w:val="20"/>
                <w:szCs w:val="20"/>
                <w:color w:val="auto"/>
              </w:rPr>
              <w:t>reporting,</w:t>
            </w:r>
          </w:p>
        </w:tc>
        <w:tc>
          <w:tcPr>
            <w:tcW w:w="800" w:type="dxa"/>
            <w:vAlign w:val="bottom"/>
            <w:shd w:val="clear" w:color="auto" w:fill="D8F0FA"/>
          </w:tcPr>
          <w:p>
            <w:pPr>
              <w:jc w:val="center"/>
              <w:spacing w:after="0" w:line="214" w:lineRule="exact"/>
              <w:rPr>
                <w:sz w:val="20"/>
                <w:szCs w:val="20"/>
                <w:color w:val="auto"/>
              </w:rPr>
            </w:pPr>
            <w:r>
              <w:rPr>
                <w:rFonts w:ascii="Arial" w:cs="Arial" w:eastAsia="Arial" w:hAnsi="Arial"/>
                <w:sz w:val="20"/>
                <w:szCs w:val="20"/>
                <w:color w:val="auto"/>
                <w:w w:val="97"/>
              </w:rPr>
              <w:t>internal</w:t>
            </w:r>
          </w:p>
        </w:tc>
        <w:tc>
          <w:tcPr>
            <w:tcW w:w="1280" w:type="dxa"/>
            <w:vAlign w:val="bottom"/>
            <w:shd w:val="clear" w:color="auto" w:fill="D8F0FA"/>
          </w:tcPr>
          <w:p>
            <w:pPr>
              <w:jc w:val="right"/>
              <w:ind w:right="2"/>
              <w:spacing w:after="0" w:line="214" w:lineRule="exact"/>
              <w:rPr>
                <w:sz w:val="20"/>
                <w:szCs w:val="20"/>
                <w:color w:val="auto"/>
              </w:rPr>
            </w:pPr>
            <w:r>
              <w:rPr>
                <w:rFonts w:ascii="Arial" w:cs="Arial" w:eastAsia="Arial" w:hAnsi="Arial"/>
                <w:sz w:val="20"/>
                <w:szCs w:val="20"/>
                <w:color w:val="auto"/>
              </w:rPr>
              <w:t>controls,  or</w:t>
            </w:r>
          </w:p>
        </w:tc>
        <w:tc>
          <w:tcPr>
            <w:tcW w:w="340" w:type="dxa"/>
            <w:vAlign w:val="bottom"/>
          </w:tcPr>
          <w:p>
            <w:pPr>
              <w:spacing w:after="0"/>
              <w:rPr>
                <w:sz w:val="18"/>
                <w:szCs w:val="18"/>
                <w:color w:val="auto"/>
              </w:rPr>
            </w:pPr>
          </w:p>
        </w:tc>
        <w:tc>
          <w:tcPr>
            <w:tcW w:w="1340" w:type="dxa"/>
            <w:vAlign w:val="bottom"/>
            <w:shd w:val="clear" w:color="auto" w:fill="D8F0FA"/>
          </w:tcPr>
          <w:p>
            <w:pPr>
              <w:ind w:left="440"/>
              <w:spacing w:after="0" w:line="214" w:lineRule="exact"/>
              <w:rPr>
                <w:sz w:val="20"/>
                <w:szCs w:val="20"/>
                <w:color w:val="auto"/>
              </w:rPr>
            </w:pPr>
            <w:r>
              <w:rPr>
                <w:rFonts w:ascii="Arial" w:cs="Arial" w:eastAsia="Arial" w:hAnsi="Arial"/>
                <w:sz w:val="20"/>
                <w:szCs w:val="20"/>
                <w:color w:val="auto"/>
                <w:w w:val="95"/>
              </w:rPr>
              <w:t>exposures</w:t>
            </w:r>
          </w:p>
        </w:tc>
        <w:tc>
          <w:tcPr>
            <w:tcW w:w="1040" w:type="dxa"/>
            <w:vAlign w:val="bottom"/>
            <w:shd w:val="clear" w:color="auto" w:fill="D8F0FA"/>
          </w:tcPr>
          <w:p>
            <w:pPr>
              <w:ind w:left="400"/>
              <w:spacing w:after="0" w:line="214" w:lineRule="exact"/>
              <w:rPr>
                <w:sz w:val="20"/>
                <w:szCs w:val="20"/>
                <w:color w:val="auto"/>
              </w:rPr>
            </w:pPr>
            <w:r>
              <w:rPr>
                <w:rFonts w:ascii="Arial" w:cs="Arial" w:eastAsia="Arial" w:hAnsi="Arial"/>
                <w:sz w:val="20"/>
                <w:szCs w:val="20"/>
                <w:color w:val="auto"/>
              </w:rPr>
              <w:t>and</w:t>
            </w:r>
          </w:p>
        </w:tc>
        <w:tc>
          <w:tcPr>
            <w:tcW w:w="1100" w:type="dxa"/>
            <w:vAlign w:val="bottom"/>
            <w:shd w:val="clear" w:color="auto" w:fill="D8F0FA"/>
          </w:tcPr>
          <w:p>
            <w:pPr>
              <w:jc w:val="right"/>
              <w:ind w:right="2"/>
              <w:spacing w:after="0" w:line="214" w:lineRule="exact"/>
              <w:rPr>
                <w:sz w:val="20"/>
                <w:szCs w:val="20"/>
                <w:color w:val="auto"/>
              </w:rPr>
            </w:pPr>
            <w:r>
              <w:rPr>
                <w:rFonts w:ascii="Arial" w:cs="Arial" w:eastAsia="Arial" w:hAnsi="Arial"/>
                <w:sz w:val="20"/>
                <w:szCs w:val="20"/>
                <w:color w:val="auto"/>
              </w:rPr>
              <w:t>contingent</w:t>
            </w:r>
          </w:p>
        </w:tc>
      </w:tr>
      <w:tr>
        <w:trPr>
          <w:trHeight w:val="235"/>
        </w:trPr>
        <w:tc>
          <w:tcPr>
            <w:tcW w:w="2180" w:type="dxa"/>
            <w:vAlign w:val="bottom"/>
            <w:gridSpan w:val="2"/>
            <w:shd w:val="clear" w:color="auto" w:fill="D8F0FA"/>
          </w:tcPr>
          <w:p>
            <w:pPr>
              <w:ind w:left="420"/>
              <w:spacing w:after="0"/>
              <w:rPr>
                <w:sz w:val="20"/>
                <w:szCs w:val="20"/>
                <w:color w:val="auto"/>
              </w:rPr>
            </w:pPr>
            <w:r>
              <w:rPr>
                <w:rFonts w:ascii="Arial" w:cs="Arial" w:eastAsia="Arial" w:hAnsi="Arial"/>
                <w:sz w:val="20"/>
                <w:szCs w:val="20"/>
                <w:color w:val="auto"/>
              </w:rPr>
              <w:t>auditing matters</w:t>
            </w:r>
          </w:p>
        </w:tc>
        <w:tc>
          <w:tcPr>
            <w:tcW w:w="1280" w:type="dxa"/>
            <w:vAlign w:val="bottom"/>
            <w:shd w:val="clear" w:color="auto" w:fill="D8F0FA"/>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3"/>
            <w:shd w:val="clear" w:color="auto" w:fill="D8F0FA"/>
          </w:tcPr>
          <w:p>
            <w:pPr>
              <w:ind w:left="440"/>
              <w:spacing w:after="0"/>
              <w:rPr>
                <w:sz w:val="20"/>
                <w:szCs w:val="20"/>
                <w:color w:val="auto"/>
              </w:rPr>
            </w:pPr>
            <w:r>
              <w:rPr>
                <w:rFonts w:ascii="Arial" w:cs="Arial" w:eastAsia="Arial" w:hAnsi="Arial"/>
                <w:sz w:val="20"/>
                <w:szCs w:val="20"/>
                <w:color w:val="auto"/>
              </w:rPr>
              <w:t>liabilities of the Company</w:t>
            </w:r>
          </w:p>
        </w:tc>
      </w:tr>
      <w:tr>
        <w:trPr>
          <w:trHeight w:val="286"/>
        </w:trPr>
        <w:tc>
          <w:tcPr>
            <w:tcW w:w="3460" w:type="dxa"/>
            <w:vAlign w:val="bottom"/>
            <w:gridSpan w:val="3"/>
            <w:shd w:val="clear" w:color="auto" w:fill="D8F0FA"/>
          </w:tcPr>
          <w:p>
            <w:pPr>
              <w:jc w:val="center"/>
              <w:ind w:left="2"/>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  risk  related  to  legal,</w:t>
            </w:r>
          </w:p>
        </w:tc>
        <w:tc>
          <w:tcPr>
            <w:tcW w:w="340" w:type="dxa"/>
            <w:vAlign w:val="bottom"/>
          </w:tcPr>
          <w:p>
            <w:pPr>
              <w:spacing w:after="0"/>
              <w:rPr>
                <w:sz w:val="24"/>
                <w:szCs w:val="24"/>
                <w:color w:val="auto"/>
              </w:rPr>
            </w:pPr>
          </w:p>
        </w:tc>
        <w:tc>
          <w:tcPr>
            <w:tcW w:w="1340" w:type="dxa"/>
            <w:vAlign w:val="bottom"/>
            <w:shd w:val="clear" w:color="auto" w:fill="D8F0FA"/>
          </w:tcPr>
          <w:p>
            <w:pPr>
              <w:ind w:left="220"/>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p>
        </w:tc>
        <w:tc>
          <w:tcPr>
            <w:tcW w:w="1040" w:type="dxa"/>
            <w:vAlign w:val="bottom"/>
            <w:shd w:val="clear" w:color="auto" w:fill="D8F0FA"/>
          </w:tcPr>
          <w:p>
            <w:pPr>
              <w:ind w:left="20"/>
              <w:spacing w:after="0"/>
              <w:rPr>
                <w:sz w:val="20"/>
                <w:szCs w:val="20"/>
                <w:color w:val="auto"/>
              </w:rPr>
            </w:pPr>
            <w:r>
              <w:rPr>
                <w:rFonts w:ascii="Arial" w:cs="Arial" w:eastAsia="Arial" w:hAnsi="Arial"/>
                <w:sz w:val="20"/>
                <w:szCs w:val="20"/>
                <w:color w:val="auto"/>
              </w:rPr>
              <w:t>regulatory</w:t>
            </w:r>
          </w:p>
        </w:tc>
        <w:tc>
          <w:tcPr>
            <w:tcW w:w="1100" w:type="dxa"/>
            <w:vAlign w:val="bottom"/>
            <w:shd w:val="clear" w:color="auto" w:fill="D8F0FA"/>
          </w:tcPr>
          <w:p>
            <w:pPr>
              <w:jc w:val="right"/>
              <w:ind w:right="22"/>
              <w:spacing w:after="0"/>
              <w:rPr>
                <w:sz w:val="20"/>
                <w:szCs w:val="20"/>
                <w:color w:val="auto"/>
              </w:rPr>
            </w:pPr>
            <w:r>
              <w:rPr>
                <w:rFonts w:ascii="Arial" w:cs="Arial" w:eastAsia="Arial" w:hAnsi="Arial"/>
                <w:sz w:val="20"/>
                <w:szCs w:val="20"/>
                <w:color w:val="auto"/>
                <w:w w:val="94"/>
              </w:rPr>
              <w:t>compliance</w:t>
            </w:r>
          </w:p>
        </w:tc>
      </w:tr>
      <w:tr>
        <w:trPr>
          <w:trHeight w:val="214"/>
        </w:trPr>
        <w:tc>
          <w:tcPr>
            <w:tcW w:w="1380" w:type="dxa"/>
            <w:vAlign w:val="bottom"/>
            <w:shd w:val="clear" w:color="auto" w:fill="D8F0FA"/>
          </w:tcPr>
          <w:p>
            <w:pPr>
              <w:ind w:left="420"/>
              <w:spacing w:after="0" w:line="214" w:lineRule="exact"/>
              <w:rPr>
                <w:sz w:val="20"/>
                <w:szCs w:val="20"/>
                <w:color w:val="auto"/>
              </w:rPr>
            </w:pPr>
            <w:r>
              <w:rPr>
                <w:rFonts w:ascii="Arial" w:cs="Arial" w:eastAsia="Arial" w:hAnsi="Arial"/>
                <w:sz w:val="20"/>
                <w:szCs w:val="20"/>
                <w:color w:val="auto"/>
                <w:w w:val="99"/>
              </w:rPr>
              <w:t>regulatory,</w:t>
            </w:r>
          </w:p>
        </w:tc>
        <w:tc>
          <w:tcPr>
            <w:tcW w:w="800" w:type="dxa"/>
            <w:vAlign w:val="bottom"/>
            <w:shd w:val="clear" w:color="auto" w:fill="D8F0FA"/>
          </w:tcPr>
          <w:p>
            <w:pPr>
              <w:ind w:left="300"/>
              <w:spacing w:after="0" w:line="214" w:lineRule="exact"/>
              <w:rPr>
                <w:sz w:val="20"/>
                <w:szCs w:val="20"/>
                <w:color w:val="auto"/>
              </w:rPr>
            </w:pPr>
            <w:r>
              <w:rPr>
                <w:rFonts w:ascii="Arial" w:cs="Arial" w:eastAsia="Arial" w:hAnsi="Arial"/>
                <w:sz w:val="20"/>
                <w:szCs w:val="20"/>
                <w:color w:val="auto"/>
              </w:rPr>
              <w:t>and</w:t>
            </w:r>
          </w:p>
        </w:tc>
        <w:tc>
          <w:tcPr>
            <w:tcW w:w="1280" w:type="dxa"/>
            <w:vAlign w:val="bottom"/>
            <w:shd w:val="clear" w:color="auto" w:fill="D8F0FA"/>
          </w:tcPr>
          <w:p>
            <w:pPr>
              <w:jc w:val="right"/>
              <w:ind w:right="2"/>
              <w:spacing w:after="0" w:line="214" w:lineRule="exact"/>
              <w:rPr>
                <w:sz w:val="20"/>
                <w:szCs w:val="20"/>
                <w:color w:val="auto"/>
              </w:rPr>
            </w:pPr>
            <w:r>
              <w:rPr>
                <w:rFonts w:ascii="Arial" w:cs="Arial" w:eastAsia="Arial" w:hAnsi="Arial"/>
                <w:sz w:val="20"/>
                <w:szCs w:val="20"/>
                <w:color w:val="auto"/>
              </w:rPr>
              <w:t>compliance</w:t>
            </w:r>
          </w:p>
        </w:tc>
        <w:tc>
          <w:tcPr>
            <w:tcW w:w="340" w:type="dxa"/>
            <w:vAlign w:val="bottom"/>
          </w:tcPr>
          <w:p>
            <w:pPr>
              <w:spacing w:after="0"/>
              <w:rPr>
                <w:sz w:val="18"/>
                <w:szCs w:val="18"/>
                <w:color w:val="auto"/>
              </w:rPr>
            </w:pPr>
          </w:p>
        </w:tc>
        <w:tc>
          <w:tcPr>
            <w:tcW w:w="3480" w:type="dxa"/>
            <w:vAlign w:val="bottom"/>
            <w:gridSpan w:val="3"/>
            <w:shd w:val="clear" w:color="auto" w:fill="D8F0FA"/>
          </w:tcPr>
          <w:p>
            <w:pPr>
              <w:ind w:left="440"/>
              <w:spacing w:after="0" w:line="214" w:lineRule="exact"/>
              <w:rPr>
                <w:sz w:val="20"/>
                <w:szCs w:val="20"/>
                <w:color w:val="auto"/>
              </w:rPr>
            </w:pPr>
            <w:r>
              <w:rPr>
                <w:rFonts w:ascii="Arial" w:cs="Arial" w:eastAsia="Arial" w:hAnsi="Arial"/>
                <w:sz w:val="20"/>
                <w:szCs w:val="20"/>
                <w:color w:val="auto"/>
              </w:rPr>
              <w:t>of  employee  defined  benefits</w:t>
            </w:r>
          </w:p>
        </w:tc>
      </w:tr>
      <w:tr>
        <w:trPr>
          <w:trHeight w:val="235"/>
        </w:trPr>
        <w:tc>
          <w:tcPr>
            <w:tcW w:w="1380" w:type="dxa"/>
            <w:vAlign w:val="bottom"/>
            <w:shd w:val="clear" w:color="auto" w:fill="D8F0FA"/>
          </w:tcPr>
          <w:p>
            <w:pPr>
              <w:ind w:left="420"/>
              <w:spacing w:after="0"/>
              <w:rPr>
                <w:sz w:val="20"/>
                <w:szCs w:val="20"/>
                <w:color w:val="auto"/>
              </w:rPr>
            </w:pPr>
            <w:r>
              <w:rPr>
                <w:rFonts w:ascii="Arial" w:cs="Arial" w:eastAsia="Arial" w:hAnsi="Arial"/>
                <w:sz w:val="20"/>
                <w:szCs w:val="20"/>
                <w:color w:val="auto"/>
              </w:rPr>
              <w:t>programs</w:t>
            </w:r>
          </w:p>
        </w:tc>
        <w:tc>
          <w:tcPr>
            <w:tcW w:w="800" w:type="dxa"/>
            <w:vAlign w:val="bottom"/>
            <w:shd w:val="clear" w:color="auto" w:fill="D8F0FA"/>
          </w:tcPr>
          <w:p>
            <w:pPr>
              <w:spacing w:after="0"/>
              <w:rPr>
                <w:sz w:val="20"/>
                <w:szCs w:val="20"/>
                <w:color w:val="auto"/>
              </w:rPr>
            </w:pPr>
          </w:p>
        </w:tc>
        <w:tc>
          <w:tcPr>
            <w:tcW w:w="1280" w:type="dxa"/>
            <w:vAlign w:val="bottom"/>
            <w:shd w:val="clear" w:color="auto" w:fill="D8F0FA"/>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shd w:val="clear" w:color="auto" w:fill="D8F0FA"/>
          </w:tcPr>
          <w:p>
            <w:pPr>
              <w:ind w:left="440"/>
              <w:spacing w:after="0"/>
              <w:rPr>
                <w:sz w:val="20"/>
                <w:szCs w:val="20"/>
                <w:color w:val="auto"/>
              </w:rPr>
            </w:pPr>
            <w:r>
              <w:rPr>
                <w:rFonts w:ascii="Arial" w:cs="Arial" w:eastAsia="Arial" w:hAnsi="Arial"/>
                <w:sz w:val="20"/>
                <w:szCs w:val="20"/>
                <w:color w:val="auto"/>
              </w:rPr>
              <w:t>plans</w:t>
            </w:r>
          </w:p>
        </w:tc>
        <w:tc>
          <w:tcPr>
            <w:tcW w:w="1040" w:type="dxa"/>
            <w:vAlign w:val="bottom"/>
            <w:shd w:val="clear" w:color="auto" w:fill="D8F0FA"/>
          </w:tcPr>
          <w:p>
            <w:pPr>
              <w:spacing w:after="0"/>
              <w:rPr>
                <w:sz w:val="20"/>
                <w:szCs w:val="20"/>
                <w:color w:val="auto"/>
              </w:rPr>
            </w:pPr>
          </w:p>
        </w:tc>
        <w:tc>
          <w:tcPr>
            <w:tcW w:w="1100" w:type="dxa"/>
            <w:vAlign w:val="bottom"/>
            <w:shd w:val="clear" w:color="auto" w:fill="D8F0FA"/>
          </w:tcPr>
          <w:p>
            <w:pPr>
              <w:spacing w:after="0"/>
              <w:rPr>
                <w:sz w:val="20"/>
                <w:szCs w:val="20"/>
                <w:color w:val="auto"/>
              </w:rPr>
            </w:pPr>
          </w:p>
        </w:tc>
      </w:tr>
      <w:tr>
        <w:trPr>
          <w:trHeight w:val="129"/>
        </w:trPr>
        <w:tc>
          <w:tcPr>
            <w:tcW w:w="1380" w:type="dxa"/>
            <w:vAlign w:val="bottom"/>
            <w:tcBorders>
              <w:bottom w:val="single" w:sz="8" w:color="0033A0"/>
            </w:tcBorders>
            <w:shd w:val="clear" w:color="auto" w:fill="D8F0FA"/>
          </w:tcPr>
          <w:p>
            <w:pPr>
              <w:spacing w:after="0"/>
              <w:rPr>
                <w:sz w:val="11"/>
                <w:szCs w:val="11"/>
                <w:color w:val="auto"/>
              </w:rPr>
            </w:pPr>
          </w:p>
        </w:tc>
        <w:tc>
          <w:tcPr>
            <w:tcW w:w="800" w:type="dxa"/>
            <w:vAlign w:val="bottom"/>
            <w:tcBorders>
              <w:bottom w:val="single" w:sz="8" w:color="0033A0"/>
            </w:tcBorders>
            <w:shd w:val="clear" w:color="auto" w:fill="D8F0FA"/>
          </w:tcPr>
          <w:p>
            <w:pPr>
              <w:spacing w:after="0"/>
              <w:rPr>
                <w:sz w:val="11"/>
                <w:szCs w:val="11"/>
                <w:color w:val="auto"/>
              </w:rPr>
            </w:pPr>
          </w:p>
        </w:tc>
        <w:tc>
          <w:tcPr>
            <w:tcW w:w="1280" w:type="dxa"/>
            <w:vAlign w:val="bottom"/>
            <w:tcBorders>
              <w:bottom w:val="single" w:sz="8" w:color="0033A0"/>
            </w:tcBorders>
            <w:shd w:val="clear" w:color="auto" w:fill="D8F0FA"/>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Borders>
              <w:bottom w:val="single" w:sz="8" w:color="0033A0"/>
            </w:tcBorders>
            <w:shd w:val="clear" w:color="auto" w:fill="D8F0FA"/>
          </w:tcPr>
          <w:p>
            <w:pPr>
              <w:spacing w:after="0"/>
              <w:rPr>
                <w:sz w:val="11"/>
                <w:szCs w:val="11"/>
                <w:color w:val="auto"/>
              </w:rPr>
            </w:pPr>
          </w:p>
        </w:tc>
        <w:tc>
          <w:tcPr>
            <w:tcW w:w="1040" w:type="dxa"/>
            <w:vAlign w:val="bottom"/>
            <w:tcBorders>
              <w:bottom w:val="single" w:sz="8" w:color="0033A0"/>
            </w:tcBorders>
            <w:shd w:val="clear" w:color="auto" w:fill="D8F0FA"/>
          </w:tcPr>
          <w:p>
            <w:pPr>
              <w:spacing w:after="0"/>
              <w:rPr>
                <w:sz w:val="11"/>
                <w:szCs w:val="11"/>
                <w:color w:val="auto"/>
              </w:rPr>
            </w:pPr>
          </w:p>
        </w:tc>
        <w:tc>
          <w:tcPr>
            <w:tcW w:w="1100" w:type="dxa"/>
            <w:vAlign w:val="bottom"/>
            <w:tcBorders>
              <w:bottom w:val="single" w:sz="8" w:color="0033A0"/>
            </w:tcBorders>
            <w:shd w:val="clear" w:color="auto" w:fill="D8F0FA"/>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153035</wp:posOffset>
            </wp:positionV>
            <wp:extent cx="4152900" cy="280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52900" cy="280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60"/>
            <w:col w:w="7300"/>
          </w:cols>
          <w:pgMar w:left="320" w:top="456" w:right="479" w:bottom="1440" w:gutter="0" w:footer="0" w:header="0"/>
          <w:type w:val="continuous"/>
        </w:sectPr>
      </w:pPr>
    </w:p>
    <w:p>
      <w:pPr>
        <w:spacing w:after="0" w:line="45" w:lineRule="exact"/>
        <w:rPr>
          <w:sz w:val="20"/>
          <w:szCs w:val="20"/>
          <w:color w:val="auto"/>
        </w:rPr>
      </w:pPr>
    </w:p>
    <w:p>
      <w:pPr>
        <w:jc w:val="center"/>
        <w:ind w:left="2460"/>
        <w:spacing w:after="0"/>
        <w:rPr>
          <w:sz w:val="20"/>
          <w:szCs w:val="20"/>
          <w:color w:val="auto"/>
        </w:rPr>
      </w:pPr>
      <w:r>
        <w:rPr>
          <w:rFonts w:ascii="Arial" w:cs="Arial" w:eastAsia="Arial" w:hAnsi="Arial"/>
          <w:sz w:val="17"/>
          <w:szCs w:val="17"/>
          <w:b w:val="1"/>
          <w:bCs w:val="1"/>
          <w:color w:val="FFFFFF"/>
        </w:rPr>
        <w:t>GOVERNANCE AND CORPORATE</w:t>
      </w:r>
    </w:p>
    <w:p>
      <w:pPr>
        <w:spacing w:after="0" w:line="27" w:lineRule="exact"/>
        <w:rPr>
          <w:sz w:val="20"/>
          <w:szCs w:val="20"/>
          <w:color w:val="auto"/>
        </w:rPr>
      </w:pPr>
    </w:p>
    <w:p>
      <w:pPr>
        <w:jc w:val="center"/>
        <w:ind w:left="2460"/>
        <w:spacing w:after="0"/>
        <w:rPr>
          <w:sz w:val="20"/>
          <w:szCs w:val="20"/>
          <w:color w:val="auto"/>
        </w:rPr>
      </w:pPr>
      <w:r>
        <w:rPr>
          <w:rFonts w:ascii="Arial" w:cs="Arial" w:eastAsia="Arial" w:hAnsi="Arial"/>
          <w:sz w:val="18"/>
          <w:szCs w:val="18"/>
          <w:b w:val="1"/>
          <w:bCs w:val="1"/>
          <w:color w:val="FFFFFF"/>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5080</wp:posOffset>
            </wp:positionV>
            <wp:extent cx="1970405" cy="1511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70405" cy="1511935"/>
                    </a:xfrm>
                    <a:prstGeom prst="rect">
                      <a:avLst/>
                    </a:prstGeom>
                    <a:noFill/>
                  </pic:spPr>
                </pic:pic>
              </a:graphicData>
            </a:graphic>
          </wp:anchor>
        </w:drawing>
      </w:r>
    </w:p>
    <w:p>
      <w:pPr>
        <w:ind w:left="2460"/>
        <w:spacing w:after="0"/>
        <w:tabs>
          <w:tab w:leader="none" w:pos="3700" w:val="left"/>
          <w:tab w:leader="none" w:pos="4320" w:val="left"/>
          <w:tab w:leader="none" w:pos="5160" w:val="left"/>
        </w:tabs>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r>
        <w:rPr>
          <w:sz w:val="20"/>
          <w:szCs w:val="20"/>
          <w:color w:val="auto"/>
        </w:rPr>
        <w:tab/>
      </w:r>
      <w:r>
        <w:rPr>
          <w:rFonts w:ascii="Arial" w:cs="Arial" w:eastAsia="Arial" w:hAnsi="Arial"/>
          <w:sz w:val="20"/>
          <w:szCs w:val="20"/>
          <w:color w:val="auto"/>
        </w:rPr>
        <w:t>risks</w:t>
        <w:tab/>
        <w:t>related</w:t>
      </w:r>
      <w:r>
        <w:rPr>
          <w:sz w:val="20"/>
          <w:szCs w:val="20"/>
          <w:color w:val="auto"/>
        </w:rPr>
        <w:tab/>
      </w:r>
      <w:r>
        <w:rPr>
          <w:rFonts w:ascii="Arial" w:cs="Arial" w:eastAsia="Arial" w:hAnsi="Arial"/>
          <w:sz w:val="19"/>
          <w:szCs w:val="19"/>
          <w:color w:val="auto"/>
        </w:rPr>
        <w:t>to</w:t>
      </w:r>
    </w:p>
    <w:p>
      <w:pPr>
        <w:ind w:left="2680"/>
        <w:spacing w:after="0"/>
        <w:tabs>
          <w:tab w:leader="none" w:pos="3400" w:val="left"/>
          <w:tab w:leader="none" w:pos="4120" w:val="left"/>
          <w:tab w:leader="none" w:pos="4660" w:val="left"/>
        </w:tabs>
        <w:rPr>
          <w:sz w:val="20"/>
          <w:szCs w:val="20"/>
          <w:color w:val="auto"/>
        </w:rPr>
      </w:pPr>
      <w:r>
        <w:rPr>
          <w:rFonts w:ascii="Arial" w:cs="Arial" w:eastAsia="Arial" w:hAnsi="Arial"/>
          <w:sz w:val="20"/>
          <w:szCs w:val="20"/>
          <w:color w:val="auto"/>
        </w:rPr>
        <w:t>public</w:t>
        <w:tab/>
        <w:t>policy</w:t>
        <w:tab/>
        <w:t>and</w:t>
      </w:r>
      <w:r>
        <w:rPr>
          <w:sz w:val="20"/>
          <w:szCs w:val="20"/>
          <w:color w:val="auto"/>
        </w:rPr>
        <w:tab/>
      </w:r>
      <w:r>
        <w:rPr>
          <w:rFonts w:ascii="Arial" w:cs="Arial" w:eastAsia="Arial" w:hAnsi="Arial"/>
          <w:sz w:val="19"/>
          <w:szCs w:val="19"/>
          <w:color w:val="auto"/>
        </w:rPr>
        <w:t>political</w:t>
      </w:r>
    </w:p>
    <w:p>
      <w:pPr>
        <w:ind w:left="2680"/>
        <w:spacing w:after="0"/>
        <w:rPr>
          <w:sz w:val="20"/>
          <w:szCs w:val="20"/>
          <w:color w:val="auto"/>
        </w:rPr>
      </w:pPr>
      <w:r>
        <w:rPr>
          <w:rFonts w:ascii="Arial" w:cs="Arial" w:eastAsia="Arial" w:hAnsi="Arial"/>
          <w:sz w:val="20"/>
          <w:szCs w:val="20"/>
          <w:color w:val="auto"/>
        </w:rPr>
        <w:t>activities</w:t>
      </w:r>
    </w:p>
    <w:p>
      <w:pPr>
        <w:spacing w:after="0" w:line="88" w:lineRule="exact"/>
        <w:rPr>
          <w:sz w:val="20"/>
          <w:szCs w:val="20"/>
          <w:color w:val="auto"/>
        </w:rPr>
      </w:pPr>
    </w:p>
    <w:p>
      <w:pPr>
        <w:ind w:left="2460"/>
        <w:spacing w:after="0"/>
        <w:tabs>
          <w:tab w:leader="none" w:pos="3700" w:val="left"/>
          <w:tab w:leader="none" w:pos="4320" w:val="left"/>
          <w:tab w:leader="none" w:pos="5160" w:val="left"/>
        </w:tabs>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r>
        <w:rPr>
          <w:sz w:val="20"/>
          <w:szCs w:val="20"/>
          <w:color w:val="auto"/>
        </w:rPr>
        <w:tab/>
      </w:r>
      <w:r>
        <w:rPr>
          <w:rFonts w:ascii="Arial" w:cs="Arial" w:eastAsia="Arial" w:hAnsi="Arial"/>
          <w:sz w:val="20"/>
          <w:szCs w:val="20"/>
          <w:color w:val="auto"/>
        </w:rPr>
        <w:t>risks</w:t>
        <w:tab/>
        <w:t>related</w:t>
      </w:r>
      <w:r>
        <w:rPr>
          <w:sz w:val="20"/>
          <w:szCs w:val="20"/>
          <w:color w:val="auto"/>
        </w:rPr>
        <w:tab/>
      </w:r>
      <w:r>
        <w:rPr>
          <w:rFonts w:ascii="Arial" w:cs="Arial" w:eastAsia="Arial" w:hAnsi="Arial"/>
          <w:sz w:val="19"/>
          <w:szCs w:val="19"/>
          <w:color w:val="auto"/>
        </w:rPr>
        <w:t>to</w:t>
      </w:r>
    </w:p>
    <w:p>
      <w:pPr>
        <w:ind w:left="2680"/>
        <w:spacing w:after="0"/>
        <w:tabs>
          <w:tab w:leader="none" w:pos="3540" w:val="left"/>
          <w:tab w:leader="none" w:pos="5000" w:val="left"/>
        </w:tabs>
        <w:rPr>
          <w:sz w:val="20"/>
          <w:szCs w:val="20"/>
          <w:color w:val="auto"/>
        </w:rPr>
      </w:pPr>
      <w:r>
        <w:rPr>
          <w:rFonts w:ascii="Arial" w:cs="Arial" w:eastAsia="Arial" w:hAnsi="Arial"/>
          <w:sz w:val="20"/>
          <w:szCs w:val="20"/>
          <w:color w:val="auto"/>
        </w:rPr>
        <w:t>director</w:t>
        <w:tab/>
        <w:t>independence</w:t>
      </w:r>
      <w:r>
        <w:rPr>
          <w:sz w:val="20"/>
          <w:szCs w:val="20"/>
          <w:color w:val="auto"/>
        </w:rPr>
        <w:tab/>
      </w:r>
      <w:r>
        <w:rPr>
          <w:rFonts w:ascii="Arial" w:cs="Arial" w:eastAsia="Arial" w:hAnsi="Arial"/>
          <w:sz w:val="19"/>
          <w:szCs w:val="19"/>
          <w:color w:val="auto"/>
        </w:rPr>
        <w:t>and</w:t>
      </w:r>
    </w:p>
    <w:p>
      <w:pPr>
        <w:ind w:left="2680"/>
        <w:spacing w:after="0"/>
        <w:rPr>
          <w:sz w:val="20"/>
          <w:szCs w:val="20"/>
          <w:color w:val="auto"/>
        </w:rPr>
      </w:pPr>
      <w:r>
        <w:rPr>
          <w:rFonts w:ascii="Arial" w:cs="Arial" w:eastAsia="Arial" w:hAnsi="Arial"/>
          <w:sz w:val="20"/>
          <w:szCs w:val="20"/>
          <w:color w:val="auto"/>
        </w:rPr>
        <w:t>related party transactions</w:t>
      </w:r>
    </w:p>
    <w:p>
      <w:pPr>
        <w:spacing w:after="0" w:line="91" w:lineRule="exact"/>
        <w:rPr>
          <w:sz w:val="20"/>
          <w:szCs w:val="20"/>
          <w:color w:val="auto"/>
        </w:rPr>
      </w:pPr>
    </w:p>
    <w:p>
      <w:pPr>
        <w:ind w:left="2460"/>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 risks related to the</w:t>
      </w:r>
    </w:p>
    <w:p>
      <w:pPr>
        <w:spacing w:after="0" w:line="6"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sustainability of our operations</w:t>
      </w:r>
    </w:p>
    <w:p>
      <w:pPr>
        <w:ind w:left="2680"/>
        <w:spacing w:after="0"/>
        <w:rPr>
          <w:sz w:val="20"/>
          <w:szCs w:val="20"/>
          <w:color w:val="auto"/>
        </w:rPr>
      </w:pPr>
      <w:r>
        <w:rPr>
          <w:rFonts w:ascii="Arial" w:cs="Arial" w:eastAsia="Arial" w:hAnsi="Arial"/>
          <w:sz w:val="20"/>
          <w:szCs w:val="20"/>
          <w:color w:val="auto"/>
        </w:rPr>
        <w:t>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85725</wp:posOffset>
            </wp:positionV>
            <wp:extent cx="19704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70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69850</wp:posOffset>
            </wp:positionV>
            <wp:extent cx="2021205" cy="15119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1205" cy="1511935"/>
                    </a:xfrm>
                    <a:prstGeom prst="rect">
                      <a:avLst/>
                    </a:prstGeom>
                    <a:noFill/>
                  </pic:spPr>
                </pic:pic>
              </a:graphicData>
            </a:graphic>
          </wp:anchor>
        </w:drawing>
      </w:r>
    </w:p>
    <w:p>
      <w:pPr>
        <w:spacing w:after="0" w:line="100" w:lineRule="exact"/>
        <w:rPr>
          <w:sz w:val="20"/>
          <w:szCs w:val="20"/>
          <w:color w:val="auto"/>
        </w:rPr>
      </w:pPr>
    </w:p>
    <w:p>
      <w:pPr>
        <w:jc w:val="both"/>
        <w:ind w:left="200" w:right="2320" w:hanging="213"/>
        <w:spacing w:after="0" w:line="229"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Oversees</w:t>
      </w:r>
      <w:r>
        <w:rPr>
          <w:sz w:val="20"/>
          <w:szCs w:val="20"/>
          <w:color w:val="auto"/>
        </w:rPr>
        <w:t xml:space="preserve"> </w:t>
      </w:r>
      <w:r>
        <w:rPr>
          <w:rFonts w:ascii="Arial" w:cs="Arial" w:eastAsia="Arial" w:hAnsi="Arial"/>
          <w:sz w:val="20"/>
          <w:szCs w:val="20"/>
          <w:color w:val="auto"/>
        </w:rPr>
        <w:t>risks related to executive and employee compensation plans, including by designing compensation plans that promote prudent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669290</wp:posOffset>
            </wp:positionV>
            <wp:extent cx="20212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21205" cy="8255"/>
                    </a:xfrm>
                    <a:prstGeom prst="rect">
                      <a:avLst/>
                    </a:prstGeom>
                    <a:noFill/>
                  </pic:spPr>
                </pic:pic>
              </a:graphicData>
            </a:graphic>
          </wp:anchor>
        </w:drawing>
      </w:r>
    </w:p>
    <w:p>
      <w:pPr>
        <w:spacing w:after="0" w:line="1119" w:lineRule="exact"/>
        <w:rPr>
          <w:sz w:val="20"/>
          <w:szCs w:val="20"/>
          <w:color w:val="auto"/>
        </w:rPr>
      </w:pPr>
    </w:p>
    <w:p>
      <w:pPr>
        <w:sectPr>
          <w:pgSz w:w="11900" w:h="16838" w:orient="portrait"/>
          <w:cols w:equalWidth="0" w:num="2">
            <w:col w:w="5340" w:space="540"/>
            <w:col w:w="5220"/>
          </w:cols>
          <w:pgMar w:left="320" w:top="456" w:right="4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700" w:hanging="533"/>
        <w:spacing w:after="0"/>
        <w:tabs>
          <w:tab w:leader="none" w:pos="700" w:val="left"/>
        </w:tabs>
        <w:numPr>
          <w:ilvl w:val="0"/>
          <w:numId w:val="20"/>
        </w:numPr>
        <w:rPr>
          <w:rFonts w:ascii="Arial" w:cs="Arial" w:eastAsia="Arial" w:hAnsi="Arial"/>
          <w:sz w:val="24"/>
          <w:szCs w:val="24"/>
          <w:color w:val="0033A0"/>
        </w:rPr>
      </w:pPr>
      <w:r>
        <w:rPr>
          <w:rFonts w:ascii="Arial" w:cs="Arial" w:eastAsia="Arial" w:hAnsi="Arial"/>
          <w:sz w:val="24"/>
          <w:szCs w:val="24"/>
          <w:color w:val="auto"/>
        </w:rPr>
        <w:t>Annual Risk Assessment</w:t>
      </w:r>
    </w:p>
    <w:p>
      <w:pPr>
        <w:sectPr>
          <w:pgSz w:w="11900" w:h="16838" w:orient="portrait"/>
          <w:cols w:equalWidth="0" w:num="1">
            <w:col w:w="11100"/>
          </w:cols>
          <w:pgMar w:left="320" w:top="456" w:right="479" w:bottom="1440" w:gutter="0" w:footer="0" w:header="0"/>
          <w:type w:val="continuous"/>
        </w:sectPr>
      </w:pPr>
    </w:p>
    <w:p>
      <w:pPr>
        <w:spacing w:after="0" w:line="21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Company’s Strategic Risk Management team conducts an annual risk assessment designed to prioritize GM’s most significant enterprise risks. The Risk and Cybersecurity Committee reviews this assessment and helps management focus on and select the key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risks that should be brought to the Board and the other Committees. Below are certain of the key enterprise risks that the Board and management have identified for 2020.</w:t>
      </w:r>
    </w:p>
    <w:p>
      <w:pPr>
        <w:spacing w:after="0" w:line="626"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81" w:lineRule="exact"/>
        <w:rPr>
          <w:sz w:val="20"/>
          <w:szCs w:val="20"/>
          <w:color w:val="auto"/>
        </w:rPr>
      </w:pPr>
    </w:p>
    <w:tbl>
      <w:tblPr>
        <w:tblLayout w:type="fixed"/>
        <w:tblInd w:w="160" w:type="dxa"/>
        <w:tblCellMar>
          <w:top w:w="0" w:type="dxa"/>
          <w:left w:w="0" w:type="dxa"/>
          <w:bottom w:w="0" w:type="dxa"/>
          <w:right w:w="0" w:type="dxa"/>
        </w:tblCellMar>
      </w:tblPr>
      <w:tr>
        <w:trPr>
          <w:trHeight w:val="438"/>
        </w:trPr>
        <w:tc>
          <w:tcPr>
            <w:tcW w:w="1900" w:type="dxa"/>
            <w:vAlign w:val="bottom"/>
            <w:vMerge w:val="restart"/>
            <w:shd w:val="clear" w:color="auto" w:fill="0033A0"/>
          </w:tcPr>
          <w:p>
            <w:pPr>
              <w:jc w:val="center"/>
              <w:spacing w:after="0"/>
              <w:rPr>
                <w:sz w:val="20"/>
                <w:szCs w:val="20"/>
                <w:color w:val="auto"/>
              </w:rPr>
            </w:pPr>
            <w:r>
              <w:rPr>
                <w:rFonts w:ascii="Arial" w:cs="Arial" w:eastAsia="Arial" w:hAnsi="Arial"/>
                <w:sz w:val="20"/>
                <w:szCs w:val="20"/>
                <w:color w:val="FFFFFF"/>
                <w:w w:val="97"/>
              </w:rPr>
              <w:t>Talent</w:t>
            </w:r>
          </w:p>
        </w:tc>
        <w:tc>
          <w:tcPr>
            <w:tcW w:w="280" w:type="dxa"/>
            <w:vAlign w:val="bottom"/>
          </w:tcPr>
          <w:p>
            <w:pPr>
              <w:spacing w:after="0"/>
              <w:rPr>
                <w:sz w:val="24"/>
                <w:szCs w:val="24"/>
                <w:color w:val="auto"/>
              </w:rPr>
            </w:pPr>
          </w:p>
        </w:tc>
        <w:tc>
          <w:tcPr>
            <w:tcW w:w="2020" w:type="dxa"/>
            <w:vAlign w:val="bottom"/>
            <w:shd w:val="clear" w:color="auto" w:fill="0033A0"/>
          </w:tcPr>
          <w:p>
            <w:pPr>
              <w:jc w:val="center"/>
              <w:ind w:left="2"/>
              <w:spacing w:after="0"/>
              <w:rPr>
                <w:sz w:val="20"/>
                <w:szCs w:val="20"/>
                <w:color w:val="auto"/>
              </w:rPr>
            </w:pPr>
            <w:r>
              <w:rPr>
                <w:rFonts w:ascii="Arial" w:cs="Arial" w:eastAsia="Arial" w:hAnsi="Arial"/>
                <w:sz w:val="20"/>
                <w:szCs w:val="20"/>
                <w:color w:val="FFFFFF"/>
                <w:w w:val="96"/>
              </w:rPr>
              <w:t>Customer</w:t>
            </w:r>
          </w:p>
        </w:tc>
        <w:tc>
          <w:tcPr>
            <w:tcW w:w="280" w:type="dxa"/>
            <w:vAlign w:val="bottom"/>
          </w:tcPr>
          <w:p>
            <w:pPr>
              <w:spacing w:after="0"/>
              <w:rPr>
                <w:sz w:val="24"/>
                <w:szCs w:val="24"/>
                <w:color w:val="auto"/>
              </w:rPr>
            </w:pPr>
          </w:p>
        </w:tc>
        <w:tc>
          <w:tcPr>
            <w:tcW w:w="202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w w:val="97"/>
              </w:rPr>
              <w:t>Supply Chain</w:t>
            </w:r>
          </w:p>
        </w:tc>
        <w:tc>
          <w:tcPr>
            <w:tcW w:w="280" w:type="dxa"/>
            <w:vAlign w:val="bottom"/>
          </w:tcPr>
          <w:p>
            <w:pPr>
              <w:spacing w:after="0"/>
              <w:rPr>
                <w:sz w:val="24"/>
                <w:szCs w:val="24"/>
                <w:color w:val="auto"/>
              </w:rPr>
            </w:pPr>
          </w:p>
        </w:tc>
        <w:tc>
          <w:tcPr>
            <w:tcW w:w="192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rPr>
              <w:t>Privacy</w:t>
            </w:r>
          </w:p>
        </w:tc>
        <w:tc>
          <w:tcPr>
            <w:tcW w:w="280" w:type="dxa"/>
            <w:vAlign w:val="bottom"/>
          </w:tcPr>
          <w:p>
            <w:pPr>
              <w:spacing w:after="0"/>
              <w:rPr>
                <w:sz w:val="24"/>
                <w:szCs w:val="24"/>
                <w:color w:val="auto"/>
              </w:rPr>
            </w:pPr>
          </w:p>
        </w:tc>
        <w:tc>
          <w:tcPr>
            <w:tcW w:w="1940" w:type="dxa"/>
            <w:vAlign w:val="bottom"/>
            <w:shd w:val="clear" w:color="auto" w:fill="0033A0"/>
          </w:tcPr>
          <w:p>
            <w:pPr>
              <w:jc w:val="center"/>
              <w:ind w:left="2"/>
              <w:spacing w:after="0"/>
              <w:rPr>
                <w:sz w:val="20"/>
                <w:szCs w:val="20"/>
                <w:color w:val="auto"/>
              </w:rPr>
            </w:pPr>
            <w:r>
              <w:rPr>
                <w:rFonts w:ascii="Arial" w:cs="Arial" w:eastAsia="Arial" w:hAnsi="Arial"/>
                <w:sz w:val="20"/>
                <w:szCs w:val="20"/>
                <w:color w:val="FFFFFF"/>
                <w:w w:val="97"/>
              </w:rPr>
              <w:t>Manufacturing</w:t>
            </w:r>
          </w:p>
        </w:tc>
        <w:tc>
          <w:tcPr>
            <w:tcW w:w="0" w:type="dxa"/>
            <w:vAlign w:val="bottom"/>
          </w:tcPr>
          <w:p>
            <w:pPr>
              <w:spacing w:after="0"/>
              <w:rPr>
                <w:sz w:val="1"/>
                <w:szCs w:val="1"/>
                <w:color w:val="auto"/>
              </w:rPr>
            </w:pPr>
          </w:p>
        </w:tc>
      </w:tr>
      <w:tr>
        <w:trPr>
          <w:trHeight w:val="80"/>
        </w:trPr>
        <w:tc>
          <w:tcPr>
            <w:tcW w:w="190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vMerge w:val="restart"/>
            <w:shd w:val="clear" w:color="auto" w:fill="0033A0"/>
          </w:tcPr>
          <w:p>
            <w:pPr>
              <w:jc w:val="center"/>
              <w:spacing w:after="0"/>
              <w:rPr>
                <w:sz w:val="20"/>
                <w:szCs w:val="20"/>
                <w:color w:val="auto"/>
              </w:rPr>
            </w:pPr>
            <w:r>
              <w:rPr>
                <w:rFonts w:ascii="Arial" w:cs="Arial" w:eastAsia="Arial" w:hAnsi="Arial"/>
                <w:sz w:val="20"/>
                <w:szCs w:val="20"/>
                <w:color w:val="FFFFFF"/>
                <w:w w:val="97"/>
              </w:rPr>
              <w:t>Experience</w:t>
            </w:r>
          </w:p>
        </w:tc>
        <w:tc>
          <w:tcPr>
            <w:tcW w:w="280" w:type="dxa"/>
            <w:vAlign w:val="bottom"/>
          </w:tcPr>
          <w:p>
            <w:pPr>
              <w:spacing w:after="0"/>
              <w:rPr>
                <w:sz w:val="6"/>
                <w:szCs w:val="6"/>
                <w:color w:val="auto"/>
              </w:rPr>
            </w:pPr>
          </w:p>
        </w:tc>
        <w:tc>
          <w:tcPr>
            <w:tcW w:w="20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40" w:type="dxa"/>
            <w:vAlign w:val="bottom"/>
            <w:vMerge w:val="restart"/>
            <w:shd w:val="clear" w:color="auto" w:fill="0033A0"/>
          </w:tcPr>
          <w:p>
            <w:pPr>
              <w:jc w:val="center"/>
              <w:ind w:left="22"/>
              <w:spacing w:after="0"/>
              <w:rPr>
                <w:sz w:val="20"/>
                <w:szCs w:val="20"/>
                <w:color w:val="auto"/>
              </w:rPr>
            </w:pPr>
            <w:r>
              <w:rPr>
                <w:rFonts w:ascii="Arial" w:cs="Arial" w:eastAsia="Arial" w:hAnsi="Arial"/>
                <w:sz w:val="20"/>
                <w:szCs w:val="20"/>
                <w:color w:val="FFFFFF"/>
                <w:w w:val="97"/>
              </w:rPr>
              <w:t>Disruptions</w:t>
            </w:r>
          </w:p>
        </w:tc>
        <w:tc>
          <w:tcPr>
            <w:tcW w:w="0" w:type="dxa"/>
            <w:vAlign w:val="bottom"/>
          </w:tcPr>
          <w:p>
            <w:pPr>
              <w:spacing w:after="0"/>
              <w:rPr>
                <w:sz w:val="1"/>
                <w:szCs w:val="1"/>
                <w:color w:val="auto"/>
              </w:rPr>
            </w:pPr>
          </w:p>
        </w:tc>
      </w:tr>
      <w:tr>
        <w:trPr>
          <w:trHeight w:val="155"/>
        </w:trPr>
        <w:tc>
          <w:tcPr>
            <w:tcW w:w="1900" w:type="dxa"/>
            <w:vAlign w:val="bottom"/>
            <w:shd w:val="clear" w:color="auto" w:fill="0033A0"/>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vMerge w:val="continue"/>
            <w:shd w:val="clear" w:color="auto" w:fill="0033A0"/>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vMerge w:val="restart"/>
            <w:shd w:val="clear" w:color="auto" w:fill="0033A0"/>
          </w:tcPr>
          <w:p>
            <w:pPr>
              <w:jc w:val="center"/>
              <w:spacing w:after="0"/>
              <w:rPr>
                <w:sz w:val="20"/>
                <w:szCs w:val="20"/>
                <w:color w:val="auto"/>
              </w:rPr>
            </w:pPr>
            <w:r>
              <w:rPr>
                <w:rFonts w:ascii="Arial" w:cs="Arial" w:eastAsia="Arial" w:hAnsi="Arial"/>
                <w:sz w:val="20"/>
                <w:szCs w:val="20"/>
                <w:color w:val="FFFFFF"/>
                <w:w w:val="97"/>
              </w:rPr>
              <w:t>Disruptions</w:t>
            </w:r>
          </w:p>
        </w:tc>
        <w:tc>
          <w:tcPr>
            <w:tcW w:w="280" w:type="dxa"/>
            <w:vAlign w:val="bottom"/>
          </w:tcPr>
          <w:p>
            <w:pPr>
              <w:spacing w:after="0"/>
              <w:rPr>
                <w:sz w:val="13"/>
                <w:szCs w:val="13"/>
                <w:color w:val="auto"/>
              </w:rPr>
            </w:pPr>
          </w:p>
        </w:tc>
        <w:tc>
          <w:tcPr>
            <w:tcW w:w="1920" w:type="dxa"/>
            <w:vAlign w:val="bottom"/>
            <w:shd w:val="clear" w:color="auto" w:fill="0033A0"/>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vMerge w:val="continue"/>
            <w:shd w:val="clear" w:color="auto" w:fill="0033A0"/>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90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2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40" w:type="dxa"/>
            <w:vAlign w:val="bottom"/>
            <w:shd w:val="clear" w:color="auto" w:fill="0033A0"/>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0033A0"/>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shd w:val="clear" w:color="auto" w:fill="0033A0"/>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shd w:val="clear" w:color="auto" w:fill="0033A0"/>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shd w:val="clear" w:color="auto" w:fill="0033A0"/>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shd w:val="clear" w:color="auto" w:fill="0033A0"/>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180" w:type="dxa"/>
            <w:vAlign w:val="bottom"/>
            <w:gridSpan w:val="2"/>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900" w:type="dxa"/>
            <w:vAlign w:val="bottom"/>
            <w:shd w:val="clear" w:color="auto" w:fill="0033A0"/>
          </w:tcPr>
          <w:p>
            <w:pPr>
              <w:jc w:val="center"/>
              <w:spacing w:after="0"/>
              <w:rPr>
                <w:sz w:val="20"/>
                <w:szCs w:val="20"/>
                <w:color w:val="auto"/>
              </w:rPr>
            </w:pPr>
            <w:r>
              <w:rPr>
                <w:rFonts w:ascii="Arial" w:cs="Arial" w:eastAsia="Arial" w:hAnsi="Arial"/>
                <w:sz w:val="20"/>
                <w:szCs w:val="20"/>
                <w:color w:val="FFFFFF"/>
                <w:w w:val="98"/>
              </w:rPr>
              <w:t>Workplace Safety</w:t>
            </w:r>
          </w:p>
        </w:tc>
        <w:tc>
          <w:tcPr>
            <w:tcW w:w="280" w:type="dxa"/>
            <w:vAlign w:val="bottom"/>
          </w:tcPr>
          <w:p>
            <w:pPr>
              <w:spacing w:after="0"/>
              <w:rPr>
                <w:sz w:val="24"/>
                <w:szCs w:val="24"/>
                <w:color w:val="auto"/>
              </w:rPr>
            </w:pPr>
          </w:p>
        </w:tc>
        <w:tc>
          <w:tcPr>
            <w:tcW w:w="2020" w:type="dxa"/>
            <w:vAlign w:val="bottom"/>
            <w:shd w:val="clear" w:color="auto" w:fill="0033A0"/>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shd w:val="clear" w:color="auto" w:fill="0033A0"/>
          </w:tcPr>
          <w:p>
            <w:pPr>
              <w:jc w:val="center"/>
              <w:ind w:left="2"/>
              <w:spacing w:after="0"/>
              <w:rPr>
                <w:sz w:val="20"/>
                <w:szCs w:val="20"/>
                <w:color w:val="auto"/>
              </w:rPr>
            </w:pPr>
            <w:r>
              <w:rPr>
                <w:rFonts w:ascii="Arial" w:cs="Arial" w:eastAsia="Arial" w:hAnsi="Arial"/>
                <w:sz w:val="20"/>
                <w:szCs w:val="20"/>
                <w:color w:val="FFFFFF"/>
                <w:w w:val="97"/>
              </w:rPr>
              <w:t>Shifting Trade and</w:t>
            </w:r>
          </w:p>
        </w:tc>
        <w:tc>
          <w:tcPr>
            <w:tcW w:w="280" w:type="dxa"/>
            <w:vAlign w:val="bottom"/>
          </w:tcPr>
          <w:p>
            <w:pPr>
              <w:spacing w:after="0"/>
              <w:rPr>
                <w:sz w:val="24"/>
                <w:szCs w:val="24"/>
                <w:color w:val="auto"/>
              </w:rPr>
            </w:pPr>
          </w:p>
        </w:tc>
        <w:tc>
          <w:tcPr>
            <w:tcW w:w="192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w w:val="97"/>
              </w:rPr>
              <w:t>Economic</w:t>
            </w:r>
          </w:p>
        </w:tc>
        <w:tc>
          <w:tcPr>
            <w:tcW w:w="280" w:type="dxa"/>
            <w:vAlign w:val="bottom"/>
          </w:tcPr>
          <w:p>
            <w:pPr>
              <w:spacing w:after="0"/>
              <w:rPr>
                <w:sz w:val="24"/>
                <w:szCs w:val="24"/>
                <w:color w:val="auto"/>
              </w:rPr>
            </w:pPr>
          </w:p>
        </w:tc>
        <w:tc>
          <w:tcPr>
            <w:tcW w:w="194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w w:val="98"/>
              </w:rPr>
              <w:t>Cybersecurity</w:t>
            </w:r>
          </w:p>
        </w:tc>
        <w:tc>
          <w:tcPr>
            <w:tcW w:w="0" w:type="dxa"/>
            <w:vAlign w:val="bottom"/>
          </w:tcPr>
          <w:p>
            <w:pPr>
              <w:spacing w:after="0"/>
              <w:rPr>
                <w:sz w:val="1"/>
                <w:szCs w:val="1"/>
                <w:color w:val="auto"/>
              </w:rPr>
            </w:pPr>
          </w:p>
        </w:tc>
      </w:tr>
      <w:tr>
        <w:trPr>
          <w:trHeight w:val="80"/>
        </w:trPr>
        <w:tc>
          <w:tcPr>
            <w:tcW w:w="1900" w:type="dxa"/>
            <w:vAlign w:val="bottom"/>
            <w:vMerge w:val="restart"/>
            <w:shd w:val="clear" w:color="auto" w:fill="0033A0"/>
          </w:tcPr>
          <w:p>
            <w:pPr>
              <w:jc w:val="center"/>
              <w:spacing w:after="0"/>
              <w:rPr>
                <w:sz w:val="20"/>
                <w:szCs w:val="20"/>
                <w:color w:val="auto"/>
              </w:rPr>
            </w:pPr>
            <w:r>
              <w:rPr>
                <w:rFonts w:ascii="Arial" w:cs="Arial" w:eastAsia="Arial" w:hAnsi="Arial"/>
                <w:sz w:val="20"/>
                <w:szCs w:val="20"/>
                <w:color w:val="FFFFFF"/>
                <w:w w:val="97"/>
              </w:rPr>
              <w:t>and Health</w:t>
            </w:r>
          </w:p>
        </w:tc>
        <w:tc>
          <w:tcPr>
            <w:tcW w:w="280" w:type="dxa"/>
            <w:vAlign w:val="bottom"/>
          </w:tcPr>
          <w:p>
            <w:pPr>
              <w:spacing w:after="0"/>
              <w:rPr>
                <w:sz w:val="6"/>
                <w:szCs w:val="6"/>
                <w:color w:val="auto"/>
              </w:rPr>
            </w:pPr>
          </w:p>
        </w:tc>
        <w:tc>
          <w:tcPr>
            <w:tcW w:w="202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w w:val="96"/>
              </w:rPr>
              <w:t>Vehicle Safety</w:t>
            </w:r>
          </w:p>
        </w:tc>
        <w:tc>
          <w:tcPr>
            <w:tcW w:w="280" w:type="dxa"/>
            <w:vAlign w:val="bottom"/>
          </w:tcPr>
          <w:p>
            <w:pPr>
              <w:spacing w:after="0"/>
              <w:rPr>
                <w:sz w:val="6"/>
                <w:szCs w:val="6"/>
                <w:color w:val="auto"/>
              </w:rPr>
            </w:pPr>
          </w:p>
        </w:tc>
        <w:tc>
          <w:tcPr>
            <w:tcW w:w="2020" w:type="dxa"/>
            <w:vAlign w:val="bottom"/>
            <w:vMerge w:val="restart"/>
            <w:shd w:val="clear" w:color="auto" w:fill="0033A0"/>
          </w:tcPr>
          <w:p>
            <w:pPr>
              <w:jc w:val="center"/>
              <w:ind w:left="2"/>
              <w:spacing w:after="0"/>
              <w:rPr>
                <w:sz w:val="20"/>
                <w:szCs w:val="20"/>
                <w:color w:val="auto"/>
              </w:rPr>
            </w:pPr>
            <w:r>
              <w:rPr>
                <w:rFonts w:ascii="Arial" w:cs="Arial" w:eastAsia="Arial" w:hAnsi="Arial"/>
                <w:sz w:val="20"/>
                <w:szCs w:val="20"/>
                <w:color w:val="FFFFFF"/>
                <w:w w:val="98"/>
              </w:rPr>
              <w:t>Government</w:t>
            </w:r>
          </w:p>
        </w:tc>
        <w:tc>
          <w:tcPr>
            <w:tcW w:w="280" w:type="dxa"/>
            <w:vAlign w:val="bottom"/>
          </w:tcPr>
          <w:p>
            <w:pPr>
              <w:spacing w:after="0"/>
              <w:rPr>
                <w:sz w:val="6"/>
                <w:szCs w:val="6"/>
                <w:color w:val="auto"/>
              </w:rPr>
            </w:pPr>
          </w:p>
        </w:tc>
        <w:tc>
          <w:tcPr>
            <w:tcW w:w="19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40" w:type="dxa"/>
            <w:vAlign w:val="bottom"/>
            <w:vMerge w:val="continue"/>
            <w:shd w:val="clear" w:color="auto" w:fill="0033A0"/>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900" w:type="dxa"/>
            <w:vAlign w:val="bottom"/>
            <w:vMerge w:val="continue"/>
            <w:shd w:val="clear" w:color="auto" w:fill="0033A0"/>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continue"/>
            <w:shd w:val="clear" w:color="auto" w:fill="0033A0"/>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vMerge w:val="continue"/>
            <w:shd w:val="clear" w:color="auto" w:fill="0033A0"/>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vMerge w:val="restart"/>
            <w:shd w:val="clear" w:color="auto" w:fill="0033A0"/>
          </w:tcPr>
          <w:p>
            <w:pPr>
              <w:jc w:val="center"/>
              <w:ind w:left="2"/>
              <w:spacing w:after="0" w:line="178" w:lineRule="exact"/>
              <w:rPr>
                <w:sz w:val="20"/>
                <w:szCs w:val="20"/>
                <w:color w:val="auto"/>
              </w:rPr>
            </w:pPr>
            <w:r>
              <w:rPr>
                <w:rFonts w:ascii="Arial" w:cs="Arial" w:eastAsia="Arial" w:hAnsi="Arial"/>
                <w:sz w:val="20"/>
                <w:szCs w:val="20"/>
                <w:color w:val="FFFFFF"/>
                <w:w w:val="98"/>
              </w:rPr>
              <w:t>Fluctuations</w:t>
            </w:r>
          </w:p>
        </w:tc>
        <w:tc>
          <w:tcPr>
            <w:tcW w:w="280" w:type="dxa"/>
            <w:vAlign w:val="bottom"/>
          </w:tcPr>
          <w:p>
            <w:pPr>
              <w:spacing w:after="0"/>
              <w:rPr>
                <w:sz w:val="8"/>
                <w:szCs w:val="8"/>
                <w:color w:val="auto"/>
              </w:rPr>
            </w:pPr>
          </w:p>
        </w:tc>
        <w:tc>
          <w:tcPr>
            <w:tcW w:w="1940" w:type="dxa"/>
            <w:vAlign w:val="bottom"/>
            <w:vMerge w:val="continue"/>
            <w:shd w:val="clear" w:color="auto" w:fill="0033A0"/>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90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20" w:type="dxa"/>
            <w:vAlign w:val="bottom"/>
            <w:vMerge w:val="continue"/>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40" w:type="dxa"/>
            <w:vAlign w:val="bottom"/>
            <w:shd w:val="clear" w:color="auto" w:fill="0033A0"/>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900" w:type="dxa"/>
            <w:vAlign w:val="bottom"/>
            <w:shd w:val="clear" w:color="auto" w:fill="0033A0"/>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shd w:val="clear" w:color="auto" w:fill="0033A0"/>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shd w:val="clear" w:color="auto" w:fill="0033A0"/>
          </w:tcPr>
          <w:p>
            <w:pPr>
              <w:jc w:val="center"/>
              <w:ind w:left="2"/>
              <w:spacing w:after="0"/>
              <w:rPr>
                <w:sz w:val="20"/>
                <w:szCs w:val="20"/>
                <w:color w:val="auto"/>
              </w:rPr>
            </w:pPr>
            <w:r>
              <w:rPr>
                <w:rFonts w:ascii="Arial" w:cs="Arial" w:eastAsia="Arial" w:hAnsi="Arial"/>
                <w:sz w:val="20"/>
                <w:szCs w:val="20"/>
                <w:color w:val="FFFFFF"/>
                <w:w w:val="98"/>
              </w:rPr>
              <w:t>Policies</w:t>
            </w:r>
          </w:p>
        </w:tc>
        <w:tc>
          <w:tcPr>
            <w:tcW w:w="280" w:type="dxa"/>
            <w:vAlign w:val="bottom"/>
          </w:tcPr>
          <w:p>
            <w:pPr>
              <w:spacing w:after="0"/>
              <w:rPr>
                <w:sz w:val="20"/>
                <w:szCs w:val="20"/>
                <w:color w:val="auto"/>
              </w:rPr>
            </w:pPr>
          </w:p>
        </w:tc>
        <w:tc>
          <w:tcPr>
            <w:tcW w:w="1920" w:type="dxa"/>
            <w:vAlign w:val="bottom"/>
            <w:shd w:val="clear" w:color="auto" w:fill="0033A0"/>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shd w:val="clear" w:color="auto" w:fill="0033A0"/>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90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20" w:type="dxa"/>
            <w:vAlign w:val="bottom"/>
            <w:shd w:val="clear" w:color="auto" w:fill="0033A0"/>
          </w:tcPr>
          <w:p>
            <w:pPr>
              <w:spacing w:after="0"/>
              <w:rPr>
                <w:sz w:val="6"/>
                <w:szCs w:val="6"/>
                <w:color w:val="auto"/>
              </w:rPr>
            </w:pPr>
          </w:p>
        </w:tc>
        <w:tc>
          <w:tcPr>
            <w:tcW w:w="280" w:type="dxa"/>
            <w:vAlign w:val="bottom"/>
          </w:tcPr>
          <w:p>
            <w:pPr>
              <w:spacing w:after="0"/>
              <w:rPr>
                <w:sz w:val="6"/>
                <w:szCs w:val="6"/>
                <w:color w:val="auto"/>
              </w:rPr>
            </w:pPr>
          </w:p>
        </w:tc>
        <w:tc>
          <w:tcPr>
            <w:tcW w:w="1940" w:type="dxa"/>
            <w:vAlign w:val="bottom"/>
            <w:shd w:val="clear" w:color="auto" w:fill="0033A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793865" cy="101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23</w:t>
      </w:r>
    </w:p>
    <w:p>
      <w:pPr>
        <w:sectPr>
          <w:pgSz w:w="11900" w:h="16838" w:orient="portrait"/>
          <w:cols w:equalWidth="0" w:num="1">
            <w:col w:w="11100"/>
          </w:cols>
          <w:pgMar w:left="320" w:top="456" w:right="4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135255</wp:posOffset>
            </wp:positionV>
            <wp:extent cx="6929755" cy="2120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212090"/>
                    </a:xfrm>
                    <a:prstGeom prst="rect">
                      <a:avLst/>
                    </a:prstGeom>
                    <a:noFill/>
                  </pic:spPr>
                </pic:pic>
              </a:graphicData>
            </a:graphic>
          </wp:anchor>
        </w:drawing>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FFFFFF"/>
        </w:rPr>
        <w:t>SPOTLIGHT:</w:t>
      </w:r>
    </w:p>
    <w:p>
      <w:pPr>
        <w:sectPr>
          <w:pgSz w:w="11900" w:h="16838" w:orient="portrait"/>
          <w:cols w:equalWidth="0" w:num="1">
            <w:col w:w="11080"/>
          </w:cols>
          <w:pgMar w:left="320" w:top="456" w:right="499" w:bottom="1440" w:gutter="0" w:footer="0" w:header="0"/>
        </w:sectPr>
      </w:pPr>
    </w:p>
    <w:p>
      <w:pPr>
        <w:spacing w:after="0" w:line="295" w:lineRule="exact"/>
        <w:rPr>
          <w:sz w:val="20"/>
          <w:szCs w:val="20"/>
          <w:color w:val="auto"/>
        </w:rPr>
      </w:pPr>
    </w:p>
    <w:p>
      <w:pPr>
        <w:jc w:val="center"/>
        <w:ind w:left="280"/>
        <w:spacing w:after="0"/>
        <w:rPr>
          <w:sz w:val="20"/>
          <w:szCs w:val="20"/>
          <w:color w:val="auto"/>
        </w:rPr>
      </w:pPr>
      <w:r>
        <w:rPr>
          <w:rFonts w:ascii="Arial" w:cs="Arial" w:eastAsia="Arial" w:hAnsi="Arial"/>
          <w:sz w:val="20"/>
          <w:szCs w:val="20"/>
          <w:b w:val="1"/>
          <w:bCs w:val="1"/>
          <w:color w:val="FFFFFF"/>
        </w:rPr>
        <w:t>CYBERSECURITY AND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-144780</wp:posOffset>
            </wp:positionV>
            <wp:extent cx="3329305" cy="365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29305" cy="365125"/>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20"/>
          <w:szCs w:val="20"/>
          <w:b w:val="1"/>
          <w:bCs w:val="1"/>
          <w:color w:val="FFFFFF"/>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3329305" cy="58343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29305" cy="5834380"/>
                    </a:xfrm>
                    <a:prstGeom prst="rect">
                      <a:avLst/>
                    </a:prstGeom>
                    <a:noFill/>
                  </pic:spPr>
                </pic:pic>
              </a:graphicData>
            </a:graphic>
          </wp:anchor>
        </w:drawing>
      </w:r>
    </w:p>
    <w:p>
      <w:pPr>
        <w:spacing w:after="0" w:line="111"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The Risk and Cybersecurity Committee works closely with management and the other Committees to manage GM’s cybersecurity and data privacy risks.</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0033A0"/>
        </w:rPr>
        <w:t>Cybersecurity</w:t>
      </w:r>
    </w:p>
    <w:p>
      <w:pPr>
        <w:spacing w:after="0" w:line="88" w:lineRule="exact"/>
        <w:rPr>
          <w:sz w:val="20"/>
          <w:szCs w:val="20"/>
          <w:color w:val="auto"/>
        </w:rPr>
      </w:pPr>
    </w:p>
    <w:p>
      <w:pPr>
        <w:jc w:val="both"/>
        <w:ind w:left="280"/>
        <w:spacing w:after="0" w:line="225" w:lineRule="auto"/>
        <w:rPr>
          <w:sz w:val="20"/>
          <w:szCs w:val="20"/>
          <w:color w:val="auto"/>
        </w:rPr>
      </w:pPr>
      <w:r>
        <w:rPr>
          <w:rFonts w:ascii="Arial" w:cs="Arial" w:eastAsia="Arial" w:hAnsi="Arial"/>
          <w:sz w:val="20"/>
          <w:szCs w:val="20"/>
          <w:color w:val="auto"/>
        </w:rPr>
        <w:t>At each meeting, the Risk and Cybersecurity Committee reviews management’s Cybersecurity Risk Scorecard, which measures the maturity of GM’s domain security programs, and discusses various cybersecurity topics. The Risk and Cybersecurity Committee also receives intelligence briefings on notable cyber events impacting the industry. The briefings summarize the vulnerabilities that led to the event, provide insight into what happened, and highlight learnings that GM can leverage in the future.</w:t>
      </w:r>
    </w:p>
    <w:p>
      <w:pPr>
        <w:spacing w:after="0" w:line="104" w:lineRule="exact"/>
        <w:rPr>
          <w:sz w:val="20"/>
          <w:szCs w:val="20"/>
          <w:color w:val="auto"/>
        </w:rPr>
      </w:pPr>
    </w:p>
    <w:p>
      <w:pPr>
        <w:jc w:val="both"/>
        <w:ind w:left="280"/>
        <w:spacing w:after="0" w:line="225" w:lineRule="auto"/>
        <w:rPr>
          <w:sz w:val="20"/>
          <w:szCs w:val="20"/>
          <w:color w:val="auto"/>
        </w:rPr>
      </w:pPr>
      <w:r>
        <w:rPr>
          <w:rFonts w:ascii="Arial" w:cs="Arial" w:eastAsia="Arial" w:hAnsi="Arial"/>
          <w:sz w:val="20"/>
          <w:szCs w:val="20"/>
          <w:color w:val="auto"/>
        </w:rPr>
        <w:t>GM’s Global Cybersecurity organization is a virtual alignment of cybersecurity domains across functions and business units that enables the Company to leverage both business and technical experts to accelerate the development and execution of security solutions. In recent years, GM has invested heavily in cybersecurity, including through the hiring of nearly 500 employees. These employees have diverse skillsets and include pen-testers, cryptologists, mathematicians, data analysts, program managers, and “true hackers.”</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0033A0"/>
        </w:rPr>
        <w:t>Privacy</w:t>
      </w:r>
    </w:p>
    <w:p>
      <w:pPr>
        <w:spacing w:after="0" w:line="88" w:lineRule="exact"/>
        <w:rPr>
          <w:sz w:val="20"/>
          <w:szCs w:val="20"/>
          <w:color w:val="auto"/>
        </w:rPr>
      </w:pPr>
    </w:p>
    <w:p>
      <w:pPr>
        <w:jc w:val="both"/>
        <w:ind w:left="280"/>
        <w:spacing w:after="0" w:line="236" w:lineRule="auto"/>
        <w:rPr>
          <w:sz w:val="20"/>
          <w:szCs w:val="20"/>
          <w:color w:val="auto"/>
        </w:rPr>
      </w:pPr>
      <w:r>
        <w:rPr>
          <w:rFonts w:ascii="Arial" w:cs="Arial" w:eastAsia="Arial" w:hAnsi="Arial"/>
          <w:sz w:val="19"/>
          <w:szCs w:val="19"/>
          <w:color w:val="auto"/>
        </w:rPr>
        <w:t>In recent years, GM’s Strategic Risk Management team determined that privacy risks were increasing in significance due to the enactment of new and more stringent U.S. and global regulations on the use and protection of personal information. Accordingly, the Risk and Cybersecurity Committee has taken steps to continue to enhance its oversight on GM’s data privacy policies and practices. The Committee’s charter makes it clear that the Committee is responsible for overseeing GM’s privacy risks relating to the Company’s employees, customers, and stakeholders. The Committee also devotes portions of its meetings to discuss critical privacy issues with management, including GM’s processes and policies designed to ensure compliance with the California Consumer Privacy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33293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1620"/>
        <w:spacing w:after="0"/>
        <w:rPr>
          <w:sz w:val="20"/>
          <w:szCs w:val="20"/>
          <w:color w:val="auto"/>
        </w:rPr>
      </w:pPr>
      <w:r>
        <w:rPr>
          <w:rFonts w:ascii="Arial" w:cs="Arial" w:eastAsia="Arial" w:hAnsi="Arial"/>
          <w:sz w:val="20"/>
          <w:szCs w:val="20"/>
          <w:b w:val="1"/>
          <w:bCs w:val="1"/>
          <w:color w:val="FFFFFF"/>
        </w:rPr>
        <w:t>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-144780</wp:posOffset>
            </wp:positionV>
            <wp:extent cx="3388360" cy="365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88360" cy="36512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20"/>
          <w:szCs w:val="20"/>
          <w:b w:val="1"/>
          <w:bCs w:val="1"/>
          <w:color w:val="FFFFFF"/>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68580</wp:posOffset>
            </wp:positionV>
            <wp:extent cx="3388360" cy="58343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88360" cy="5834380"/>
                    </a:xfrm>
                    <a:prstGeom prst="rect">
                      <a:avLst/>
                    </a:prstGeom>
                    <a:noFill/>
                  </pic:spPr>
                </pic:pic>
              </a:graphicData>
            </a:graphic>
          </wp:anchor>
        </w:drawing>
      </w:r>
    </w:p>
    <w:p>
      <w:pPr>
        <w:spacing w:after="0" w:line="111"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color w:val="auto"/>
        </w:rPr>
        <w:t>GM takes the challenge of climate change seriously and recognizes the role of the transportation sector in contributing to global greenhouse gas emissions.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33A0"/>
        </w:rPr>
        <w:t>Governance</w:t>
      </w:r>
    </w:p>
    <w:p>
      <w:pPr>
        <w:spacing w:after="0" w:line="88" w:lineRule="exact"/>
        <w:rPr>
          <w:sz w:val="20"/>
          <w:szCs w:val="20"/>
          <w:color w:val="auto"/>
        </w:rPr>
      </w:pPr>
    </w:p>
    <w:p>
      <w:pPr>
        <w:jc w:val="both"/>
        <w:ind w:right="100"/>
        <w:spacing w:after="0" w:line="226" w:lineRule="auto"/>
        <w:rPr>
          <w:sz w:val="20"/>
          <w:szCs w:val="20"/>
          <w:color w:val="auto"/>
        </w:rPr>
      </w:pPr>
      <w:r>
        <w:rPr>
          <w:rFonts w:ascii="Arial" w:cs="Arial" w:eastAsia="Arial" w:hAnsi="Arial"/>
          <w:sz w:val="20"/>
          <w:szCs w:val="20"/>
          <w:color w:val="auto"/>
        </w:rPr>
        <w:t>The Board is committed to overseeing the Company’s integration of ESG principles throughout the enterprise. GM is fortunate that several of its Board members have extensive business experience in managing ESG- and climate-related issues, such as transitioning from high- to low-carbon-emitting technologies and managing environmental impacts within the supply chain.</w:t>
      </w:r>
    </w:p>
    <w:p>
      <w:pPr>
        <w:spacing w:after="0" w:line="102" w:lineRule="exact"/>
        <w:rPr>
          <w:sz w:val="20"/>
          <w:szCs w:val="20"/>
          <w:color w:val="auto"/>
        </w:rPr>
      </w:pPr>
    </w:p>
    <w:p>
      <w:pPr>
        <w:jc w:val="both"/>
        <w:ind w:right="120"/>
        <w:spacing w:after="0" w:line="226" w:lineRule="auto"/>
        <w:rPr>
          <w:sz w:val="20"/>
          <w:szCs w:val="20"/>
          <w:color w:val="auto"/>
        </w:rPr>
      </w:pPr>
      <w:r>
        <w:rPr>
          <w:rFonts w:ascii="Arial" w:cs="Arial" w:eastAsia="Arial" w:hAnsi="Arial"/>
          <w:sz w:val="20"/>
          <w:szCs w:val="20"/>
          <w:color w:val="auto"/>
        </w:rPr>
        <w:t>The Board has been actively involved in shaping GM’s EV strategy, which has led to the development of our third-generation global EV platform powered by our proprietary Ultium battery system. This highly flexible platform will support vehicles ranging from affordable cars and crossovers to luxury SUVs and pickup trucks, effectively competing for nearly every customer in the market.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0033A0"/>
        </w:rPr>
        <w:t>Risk Management and Scenario Planning</w:t>
      </w:r>
    </w:p>
    <w:p>
      <w:pPr>
        <w:spacing w:after="0" w:line="88" w:lineRule="exact"/>
        <w:rPr>
          <w:sz w:val="20"/>
          <w:szCs w:val="20"/>
          <w:color w:val="auto"/>
        </w:rPr>
      </w:pPr>
    </w:p>
    <w:p>
      <w:pPr>
        <w:jc w:val="both"/>
        <w:ind w:right="100"/>
        <w:spacing w:after="0" w:line="224" w:lineRule="auto"/>
        <w:rPr>
          <w:sz w:val="20"/>
          <w:szCs w:val="20"/>
          <w:color w:val="auto"/>
        </w:rPr>
      </w:pPr>
      <w:r>
        <w:rPr>
          <w:rFonts w:ascii="Arial" w:cs="Arial" w:eastAsia="Arial" w:hAnsi="Arial"/>
          <w:sz w:val="20"/>
          <w:szCs w:val="20"/>
          <w:color w:val="auto"/>
        </w:rPr>
        <w:t>Climate change has been incorporated into GM’s enterprise risk management process. This designation ensures that these issues are at the forefront of daily decision making and that we manage them at the highest levels of the organization. As an example, a cross-functional climate change workshop helped us assess the risks, challenges, and opportunities associated with various two-degree warming scenarios. The workshop consisted of a three-step process including exploring uncertainties and defining success in the future world; answering questions to shape each scenario; and performing an analysis to determine what GM should be doing now to influence its future. This exercise helped clarify risks but also highlighted opportunities. Above all, it underscored the reality that the need to limit global warming is influencing consumer choices and brand perception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402590</wp:posOffset>
            </wp:positionV>
            <wp:extent cx="33883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5300" w:space="660"/>
            <w:col w:w="5120"/>
          </w:cols>
          <w:pgMar w:left="320" w:top="456" w:right="499" w:bottom="1440" w:gutter="0" w:footer="0" w:header="0"/>
          <w:type w:val="continuous"/>
        </w:sectPr>
      </w:pPr>
    </w:p>
    <w:p>
      <w:pPr>
        <w:spacing w:after="0" w:line="21"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24 </w:t>
      </w:r>
      <w:r>
        <w:rPr>
          <w:sz w:val="1"/>
          <w:szCs w:val="1"/>
          <w:color w:val="auto"/>
        </w:rPr>
        <w:drawing>
          <wp:inline distT="0" distB="0" distL="0" distR="0">
            <wp:extent cx="6793865" cy="1016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Your Board’s Governance Policies and Practices</w:t>
      </w:r>
    </w:p>
    <w:p>
      <w:pPr>
        <w:spacing w:after="0" w:line="155" w:lineRule="exact"/>
        <w:rPr>
          <w:sz w:val="20"/>
          <w:szCs w:val="20"/>
          <w:color w:val="auto"/>
        </w:rPr>
      </w:pPr>
    </w:p>
    <w:p>
      <w:pPr>
        <w:ind w:left="700" w:hanging="533"/>
        <w:spacing w:after="0"/>
        <w:tabs>
          <w:tab w:leader="none" w:pos="700" w:val="left"/>
        </w:tabs>
        <w:numPr>
          <w:ilvl w:val="0"/>
          <w:numId w:val="21"/>
        </w:numPr>
        <w:rPr>
          <w:rFonts w:ascii="Arial" w:cs="Arial" w:eastAsia="Arial" w:hAnsi="Arial"/>
          <w:sz w:val="25"/>
          <w:szCs w:val="25"/>
          <w:color w:val="0033A0"/>
        </w:rPr>
      </w:pPr>
      <w:r>
        <w:rPr>
          <w:rFonts w:ascii="Arial" w:cs="Arial" w:eastAsia="Arial" w:hAnsi="Arial"/>
          <w:sz w:val="25"/>
          <w:szCs w:val="25"/>
          <w:color w:val="auto"/>
        </w:rPr>
        <w:t>Code of Business Conduct and Ethics: “Winning with Integrity”</w:t>
      </w:r>
    </w:p>
    <w:p>
      <w:pPr>
        <w:sectPr>
          <w:pgSz w:w="11900" w:h="16838" w:orient="portrait"/>
          <w:cols w:equalWidth="0" w:num="1">
            <w:col w:w="11100"/>
          </w:cols>
          <w:pgMar w:left="320" w:top="456" w:right="479" w:bottom="1440" w:gutter="0" w:footer="0" w:header="0"/>
        </w:sectPr>
      </w:pP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The Board is committed to the highest legal and ethical standards in fulfilling its responsibilities. We have adopted a code of business conduct and ethics, “Winning with Integrity,” that applies to our directors, officers, and employees. This Code of Conduct forms the foundation for compliance with corporate policies and procedures and creates a Company-wide focus on uncompromising integrity in every aspect of our operations. It embodies our expectations for a number of topics, including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auto"/>
        </w:rPr>
        <w:t>workplace and vehicle safety, conflicts of interest, protection of confidential information, insider trading, competition and fair dealing, human rights, community involvement and corporate citizenship, political activities and lobbying, preservation and use of Company assets, and compliance with all laws and regulations applicable to the conduct of our business. Employees are expected to report any conduct that they believe in good faith to be an actual or apparent violation of our Code of Conduct.</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72" w:lineRule="exact"/>
        <w:rPr>
          <w:sz w:val="20"/>
          <w:szCs w:val="20"/>
          <w:color w:val="auto"/>
        </w:rPr>
      </w:pPr>
    </w:p>
    <w:p>
      <w:pPr>
        <w:ind w:left="700" w:hanging="533"/>
        <w:spacing w:after="0"/>
        <w:tabs>
          <w:tab w:leader="none" w:pos="700" w:val="left"/>
        </w:tabs>
        <w:numPr>
          <w:ilvl w:val="0"/>
          <w:numId w:val="22"/>
        </w:numPr>
        <w:rPr>
          <w:rFonts w:ascii="Arial" w:cs="Arial" w:eastAsia="Arial" w:hAnsi="Arial"/>
          <w:sz w:val="25"/>
          <w:szCs w:val="25"/>
          <w:color w:val="0033A0"/>
        </w:rPr>
      </w:pPr>
      <w:r>
        <w:rPr>
          <w:rFonts w:ascii="Arial" w:cs="Arial" w:eastAsia="Arial" w:hAnsi="Arial"/>
          <w:sz w:val="25"/>
          <w:szCs w:val="25"/>
          <w:color w:val="auto"/>
        </w:rPr>
        <w:t>Corporate Governance Guidelines</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the Board membership criteria, Board Committees, and Board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evaluation. The Governance Committee regularly reviews the Corporate Governance Guidelines and periodically recommends to your Board the adoption of amendments in response to changing regulations, evolving best practices, and shareholder concerns. For a summary of our corporate governance best practices, please see “Shareholder Protections and Governance Best Practices” on page 28 of this Proxy Statement.</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53" w:lineRule="exact"/>
        <w:rPr>
          <w:sz w:val="20"/>
          <w:szCs w:val="20"/>
          <w:color w:val="auto"/>
        </w:rPr>
      </w:pPr>
    </w:p>
    <w:p>
      <w:pPr>
        <w:ind w:left="700" w:hanging="533"/>
        <w:spacing w:after="0"/>
        <w:tabs>
          <w:tab w:leader="none" w:pos="700" w:val="left"/>
        </w:tabs>
        <w:numPr>
          <w:ilvl w:val="0"/>
          <w:numId w:val="23"/>
        </w:numPr>
        <w:rPr>
          <w:rFonts w:ascii="Arial" w:cs="Arial" w:eastAsia="Arial" w:hAnsi="Arial"/>
          <w:sz w:val="25"/>
          <w:szCs w:val="25"/>
          <w:color w:val="0033A0"/>
        </w:rPr>
      </w:pPr>
      <w:r>
        <w:rPr>
          <w:rFonts w:ascii="Arial" w:cs="Arial" w:eastAsia="Arial" w:hAnsi="Arial"/>
          <w:sz w:val="25"/>
          <w:szCs w:val="25"/>
          <w:color w:val="auto"/>
        </w:rPr>
        <w:t>CEO Succession Planning</w:t>
      </w: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Our Independent Lead Director oversees the CEO succession planning process and leads, at least annually, the Board’s discussion of CEO succession planning. Our CEO provides the Board with recommendations for and evaluations of potential CEO successors and reviews with the Board development plans for these successors.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engage with potential CEO and senior management talent at Board and Committee meetings and in less formal settings to enable directors to personally assess candidates. The Board reviews management succession in the ordinary course of business as well as contingency planning in the event of an emergency or unanticipated event.</w:t>
      </w:r>
    </w:p>
    <w:p>
      <w:pPr>
        <w:spacing w:after="0" w:line="41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68" w:lineRule="exact"/>
        <w:rPr>
          <w:sz w:val="20"/>
          <w:szCs w:val="20"/>
          <w:color w:val="auto"/>
        </w:rPr>
      </w:pPr>
    </w:p>
    <w:p>
      <w:pPr>
        <w:ind w:left="700" w:hanging="533"/>
        <w:spacing w:after="0"/>
        <w:tabs>
          <w:tab w:leader="none" w:pos="700" w:val="left"/>
        </w:tabs>
        <w:numPr>
          <w:ilvl w:val="0"/>
          <w:numId w:val="24"/>
        </w:numPr>
        <w:rPr>
          <w:rFonts w:ascii="Arial" w:cs="Arial" w:eastAsia="Arial" w:hAnsi="Arial"/>
          <w:sz w:val="25"/>
          <w:szCs w:val="25"/>
          <w:color w:val="0033A0"/>
        </w:rPr>
      </w:pPr>
      <w:r>
        <w:rPr>
          <w:rFonts w:ascii="Arial" w:cs="Arial" w:eastAsia="Arial" w:hAnsi="Arial"/>
          <w:sz w:val="25"/>
          <w:szCs w:val="25"/>
          <w:color w:val="auto"/>
        </w:rPr>
        <w:t>Board and Committee Evaluations</w:t>
      </w:r>
    </w:p>
    <w:p>
      <w:pPr>
        <w:spacing w:after="0" w:line="202"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Governance Committee periodically reviews the form and process for Board and Committee self-evaluations. In 2019, following extensive benchmarking, engagement with shareholders, interviewing third-party facilitators, and internal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discussion, the Board approved, based on the recommendation of the Governance Committee, changes to its self-evaluation process. Beginning in 2020, the Board and its Committees will observe the following self-evaluation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237490</wp:posOffset>
            </wp:positionV>
            <wp:extent cx="5137785" cy="509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37785" cy="509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Throughout the process, directors have ample opportunity to provide feedback on individual director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793865" cy="101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25</w:t>
      </w:r>
    </w:p>
    <w:p>
      <w:pPr>
        <w:sectPr>
          <w:pgSz w:w="11900" w:h="16838" w:orient="portrait"/>
          <w:cols w:equalWidth="0" w:num="1">
            <w:col w:w="11100"/>
          </w:cols>
          <w:pgMar w:left="320" w:top="456" w:right="4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The Board is committed to incorporating feedback from its self-evaluations. Recent examples of changes to practice, include:</w:t>
      </w:r>
    </w:p>
    <w:p>
      <w:pPr>
        <w:spacing w:after="0" w:line="143" w:lineRule="exact"/>
        <w:rPr>
          <w:sz w:val="20"/>
          <w:szCs w:val="20"/>
          <w:color w:val="auto"/>
        </w:rPr>
      </w:pPr>
    </w:p>
    <w:p>
      <w:pPr>
        <w:ind w:left="700" w:hanging="426"/>
        <w:spacing w:after="0" w:line="234"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Conducting bi-annual “Next Generation Lunches” with emerging leaders of the Company to assess talent and cultural change.</w:t>
      </w:r>
    </w:p>
    <w:p>
      <w:pPr>
        <w:spacing w:after="0" w:line="59" w:lineRule="exact"/>
        <w:rPr>
          <w:rFonts w:ascii="Arial" w:cs="Arial" w:eastAsia="Arial" w:hAnsi="Arial"/>
          <w:sz w:val="20"/>
          <w:szCs w:val="20"/>
          <w:color w:val="auto"/>
        </w:rPr>
      </w:pPr>
    </w:p>
    <w:p>
      <w:pPr>
        <w:ind w:left="700" w:hanging="426"/>
        <w:spacing w:after="0"/>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Meeting with dealers to understand concerns and strategize about opportunities to create a better customer experience.</w:t>
      </w:r>
    </w:p>
    <w:p>
      <w:pPr>
        <w:spacing w:after="0" w:line="75" w:lineRule="exact"/>
        <w:rPr>
          <w:rFonts w:ascii="Arial" w:cs="Arial" w:eastAsia="Arial" w:hAnsi="Arial"/>
          <w:sz w:val="19"/>
          <w:szCs w:val="19"/>
          <w:color w:val="auto"/>
        </w:rPr>
      </w:pPr>
    </w:p>
    <w:p>
      <w:pPr>
        <w:ind w:left="700" w:right="20" w:hanging="426"/>
        <w:spacing w:after="0" w:line="234"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Combining the Risk and Cybersecurity Committees to create more efficient meeting cycles and allow for broader discussions about risk management.</w:t>
      </w:r>
    </w:p>
    <w:p>
      <w:pPr>
        <w:spacing w:after="0" w:line="59" w:lineRule="exact"/>
        <w:rPr>
          <w:rFonts w:ascii="Arial" w:cs="Arial" w:eastAsia="Arial" w:hAnsi="Arial"/>
          <w:sz w:val="20"/>
          <w:szCs w:val="20"/>
          <w:color w:val="auto"/>
        </w:rPr>
      </w:pPr>
    </w:p>
    <w:p>
      <w:pPr>
        <w:ind w:left="700" w:hanging="426"/>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Enhancing pre-read and meeting presentation materials to allow for more discussion during meetings.</w:t>
      </w:r>
    </w:p>
    <w:p>
      <w:pPr>
        <w:spacing w:after="0" w:line="64" w:lineRule="exact"/>
        <w:rPr>
          <w:rFonts w:ascii="Arial" w:cs="Arial" w:eastAsia="Arial" w:hAnsi="Arial"/>
          <w:sz w:val="20"/>
          <w:szCs w:val="20"/>
          <w:color w:val="auto"/>
        </w:rPr>
      </w:pPr>
    </w:p>
    <w:p>
      <w:pPr>
        <w:ind w:left="700" w:hanging="426"/>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Changing the Board’s Self-Evaluation Process to make it more efficient and collaborative.</w:t>
      </w:r>
    </w:p>
    <w:p>
      <w:pPr>
        <w:sectPr>
          <w:pgSz w:w="11900" w:h="16838" w:orient="portrait"/>
          <w:cols w:equalWidth="0" w:num="1">
            <w:col w:w="11080"/>
          </w:cols>
          <w:pgMar w:left="320" w:top="456" w:right="499" w:bottom="1440" w:gutter="0" w:footer="0" w:header="0"/>
        </w:sectPr>
      </w:pPr>
    </w:p>
    <w:p>
      <w:pPr>
        <w:spacing w:after="0" w:line="323" w:lineRule="exact"/>
        <w:rPr>
          <w:sz w:val="20"/>
          <w:szCs w:val="20"/>
          <w:color w:val="auto"/>
        </w:rPr>
      </w:pPr>
    </w:p>
    <w:p>
      <w:pPr>
        <w:ind w:left="700" w:hanging="533"/>
        <w:spacing w:after="0"/>
        <w:tabs>
          <w:tab w:leader="none" w:pos="700" w:val="left"/>
        </w:tabs>
        <w:numPr>
          <w:ilvl w:val="0"/>
          <w:numId w:val="26"/>
        </w:numPr>
        <w:rPr>
          <w:rFonts w:ascii="Arial" w:cs="Arial" w:eastAsia="Arial" w:hAnsi="Arial"/>
          <w:sz w:val="25"/>
          <w:szCs w:val="25"/>
          <w:color w:val="0033A0"/>
        </w:rPr>
      </w:pPr>
      <w:r>
        <w:rPr>
          <w:rFonts w:ascii="Arial" w:cs="Arial" w:eastAsia="Arial" w:hAnsi="Arial"/>
          <w:sz w:val="25"/>
          <w:szCs w:val="25"/>
          <w:color w:val="auto"/>
        </w:rPr>
        <w:t>Annual Evaluation of CEO</w:t>
      </w:r>
    </w:p>
    <w:p>
      <w:pPr>
        <w:spacing w:after="0" w:line="202"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Each year, the Board reviews the CEO’s performance against her annual strategic goals. The non-management directors, meeting separately in executive session, annually conduct a formal evaluation of the CEO, which is communicated to the CEO by the Independent Lead Director. The evaluation is based on both objective and subjective criteria, including, but not limited to: the Company’s financial performance; accomplishment of ongoing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initiatives in furtherance of the Company’s long-term strategic objectives; and development of the Company’s top management team. The results of the evaluation are considered by the Compensation Committee in its deliberations when determining the compensation of the CEO as further described in “Executive Compensation” on page 52 of this Proxy Statement.</w:t>
      </w:r>
    </w:p>
    <w:p>
      <w:pPr>
        <w:spacing w:after="0" w:line="62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72" w:lineRule="exact"/>
        <w:rPr>
          <w:sz w:val="20"/>
          <w:szCs w:val="20"/>
          <w:color w:val="auto"/>
        </w:rPr>
      </w:pPr>
    </w:p>
    <w:p>
      <w:pPr>
        <w:ind w:left="700" w:hanging="533"/>
        <w:spacing w:after="0"/>
        <w:tabs>
          <w:tab w:leader="none" w:pos="700" w:val="left"/>
        </w:tabs>
        <w:numPr>
          <w:ilvl w:val="0"/>
          <w:numId w:val="27"/>
        </w:numPr>
        <w:rPr>
          <w:rFonts w:ascii="Arial" w:cs="Arial" w:eastAsia="Arial" w:hAnsi="Arial"/>
          <w:sz w:val="25"/>
          <w:szCs w:val="25"/>
          <w:color w:val="0033A0"/>
        </w:rPr>
      </w:pPr>
      <w:r>
        <w:rPr>
          <w:rFonts w:ascii="Arial" w:cs="Arial" w:eastAsia="Arial" w:hAnsi="Arial"/>
          <w:sz w:val="25"/>
          <w:szCs w:val="25"/>
          <w:color w:val="auto"/>
        </w:rPr>
        <w:t>Director Orientation and Continuing Education</w:t>
      </w:r>
    </w:p>
    <w:p>
      <w:pPr>
        <w:sectPr>
          <w:pgSz w:w="11900" w:h="16838" w:orient="portrait"/>
          <w:cols w:equalWidth="0" w:num="1">
            <w:col w:w="11080"/>
          </w:cols>
          <w:pgMar w:left="320" w:top="456" w:right="499" w:bottom="1440" w:gutter="0" w:footer="0" w:header="0"/>
          <w:type w:val="continuous"/>
        </w:sectPr>
      </w:pPr>
    </w:p>
    <w:p>
      <w:pPr>
        <w:spacing w:after="0" w:line="202"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auto"/>
        </w:rPr>
        <w:t>All new directors participate in the Company’s director orientation program. The orientation enables new directors to become familiar with the Company’s business and strategic plans; significant financial matters; core values, including ethics; compliance programs; corporate governance practices; and other key policies and practices.</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auto"/>
        </w:rPr>
        <w:t>Continuing education opportunities are provided to keep directors updated with information about the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Company and its strategy, operations, products, and other matters relevant to Board service. Board members are encouraged to visit GM facilities and dealers and attend auto shows and other key corporate and industry events to enhance their understanding of the Company and its competitors in the auto industry. In addition, all directors are encouraged to attend, at our expense, director continuing education programs sponsored by governance organizations and other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230505</wp:posOffset>
            </wp:positionV>
            <wp:extent cx="6114415" cy="1163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14415" cy="1163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hanging="533"/>
        <w:spacing w:after="0"/>
        <w:tabs>
          <w:tab w:leader="none" w:pos="700" w:val="left"/>
        </w:tabs>
        <w:numPr>
          <w:ilvl w:val="0"/>
          <w:numId w:val="28"/>
        </w:numPr>
        <w:rPr>
          <w:rFonts w:ascii="Arial" w:cs="Arial" w:eastAsia="Arial" w:hAnsi="Arial"/>
          <w:sz w:val="24"/>
          <w:szCs w:val="24"/>
          <w:color w:val="0033A0"/>
        </w:rPr>
      </w:pPr>
      <w:r>
        <w:rPr>
          <w:rFonts w:ascii="Arial" w:cs="Arial" w:eastAsia="Arial" w:hAnsi="Arial"/>
          <w:sz w:val="24"/>
          <w:szCs w:val="24"/>
          <w:color w:val="auto"/>
        </w:rPr>
        <w:t>Director Service on Other Public Company Boards</w:t>
      </w:r>
    </w:p>
    <w:p>
      <w:pPr>
        <w:sectPr>
          <w:pgSz w:w="11900" w:h="16838" w:orient="portrait"/>
          <w:cols w:equalWidth="0" w:num="1">
            <w:col w:w="11080"/>
          </w:cols>
          <w:pgMar w:left="320" w:top="456" w:right="499" w:bottom="1440" w:gutter="0" w:footer="0" w:header="0"/>
          <w:type w:val="continuous"/>
        </w:sectPr>
      </w:pPr>
    </w:p>
    <w:p>
      <w:pPr>
        <w:spacing w:after="0" w:line="214"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The Board recognizes that service on other public company boards provides directors valuable experience that benefits the Company. The Board also believes, however, that it is critical that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dedicate sufficient time to their service on the Company’s Board. Directors are expected to advise the Chairman, Independent Lead Director, or Chair of the Governance Committee in advance of accepting</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70"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26 </w:t>
      </w:r>
      <w:r>
        <w:rPr>
          <w:sz w:val="1"/>
          <w:szCs w:val="1"/>
          <w:color w:val="auto"/>
        </w:rPr>
        <w:drawing>
          <wp:inline distT="0" distB="0" distL="0" distR="0">
            <wp:extent cx="6793865" cy="1016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6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an invitation to serve on another board of directors or any audit committee of another public company board. This allows the Governance Committee to assess the impact of joining another board based on various factors relevant to the specific situation, including the nature and extent of a director’s other professional obligations and the time commitment attendant to the new position. Directors who are engaged in active, full-time employment, for example, could have less time to devote to Board service than a director whose principal occupation is serving on boards. Our Corporate Governance Guidelines provide that without obtaining the approval of the Board: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both"/>
        <w:ind w:left="267" w:right="40" w:hanging="267"/>
        <w:spacing w:after="0" w:line="230" w:lineRule="auto"/>
        <w:tabs>
          <w:tab w:leader="none" w:pos="267" w:val="left"/>
        </w:tabs>
        <w:numPr>
          <w:ilvl w:val="0"/>
          <w:numId w:val="29"/>
        </w:numPr>
        <w:rPr>
          <w:rFonts w:ascii="Arial" w:cs="Arial" w:eastAsia="Arial" w:hAnsi="Arial"/>
          <w:sz w:val="20"/>
          <w:szCs w:val="20"/>
          <w:color w:val="00A1DF"/>
        </w:rPr>
      </w:pPr>
      <w:r>
        <w:rPr>
          <w:rFonts w:ascii="Arial" w:cs="Arial" w:eastAsia="Arial" w:hAnsi="Arial"/>
          <w:sz w:val="20"/>
          <w:szCs w:val="20"/>
          <w:color w:val="auto"/>
        </w:rPr>
        <w:t>A director may not serve on the boards of more than four other public companies (excluding nonprofits and subsidiaries).</w:t>
      </w:r>
    </w:p>
    <w:p>
      <w:pPr>
        <w:spacing w:after="0" w:line="60" w:lineRule="exact"/>
        <w:rPr>
          <w:rFonts w:ascii="Arial" w:cs="Arial" w:eastAsia="Arial" w:hAnsi="Arial"/>
          <w:sz w:val="20"/>
          <w:szCs w:val="20"/>
          <w:color w:val="00A1DF"/>
        </w:rPr>
      </w:pPr>
    </w:p>
    <w:p>
      <w:pPr>
        <w:ind w:left="267" w:right="40" w:hanging="267"/>
        <w:spacing w:after="0" w:line="234" w:lineRule="auto"/>
        <w:tabs>
          <w:tab w:leader="none" w:pos="267" w:val="left"/>
        </w:tabs>
        <w:numPr>
          <w:ilvl w:val="0"/>
          <w:numId w:val="29"/>
        </w:numPr>
        <w:rPr>
          <w:rFonts w:ascii="Arial" w:cs="Arial" w:eastAsia="Arial" w:hAnsi="Arial"/>
          <w:sz w:val="20"/>
          <w:szCs w:val="20"/>
          <w:color w:val="00A1DF"/>
        </w:rPr>
      </w:pPr>
      <w:r>
        <w:rPr>
          <w:rFonts w:ascii="Arial" w:cs="Arial" w:eastAsia="Arial" w:hAnsi="Arial"/>
          <w:sz w:val="20"/>
          <w:szCs w:val="20"/>
          <w:color w:val="auto"/>
        </w:rPr>
        <w:t>No member of the Audit Committee may serve on more than two other public company audit committees.</w:t>
      </w:r>
    </w:p>
    <w:p>
      <w:pPr>
        <w:spacing w:after="0" w:line="127" w:lineRule="exact"/>
        <w:rPr>
          <w:sz w:val="20"/>
          <w:szCs w:val="20"/>
          <w:color w:val="auto"/>
        </w:rPr>
      </w:pPr>
    </w:p>
    <w:p>
      <w:pPr>
        <w:jc w:val="both"/>
        <w:ind w:left="7" w:right="20"/>
        <w:spacing w:after="0" w:line="227" w:lineRule="auto"/>
        <w:rPr>
          <w:sz w:val="20"/>
          <w:szCs w:val="20"/>
          <w:color w:val="auto"/>
        </w:rPr>
      </w:pPr>
      <w:r>
        <w:rPr>
          <w:rFonts w:ascii="Arial" w:cs="Arial" w:eastAsia="Arial" w:hAnsi="Arial"/>
          <w:sz w:val="20"/>
          <w:szCs w:val="20"/>
          <w:color w:val="auto"/>
        </w:rPr>
        <w:t>In general, senior members of management may not serve on the board of more than one other public company or for-profit entity and must obtain the approval of the Governance Committee prior to accepting an invitation to serve on an outside board. All directors and senior members of management are in compliance with this policy.</w:t>
      </w:r>
    </w:p>
    <w:p>
      <w:pPr>
        <w:spacing w:after="0" w:line="200" w:lineRule="exact"/>
        <w:rPr>
          <w:sz w:val="20"/>
          <w:szCs w:val="20"/>
          <w:color w:val="auto"/>
        </w:rPr>
      </w:pPr>
    </w:p>
    <w:p>
      <w:pPr>
        <w:sectPr>
          <w:pgSz w:w="11900" w:h="16838" w:orient="portrait"/>
          <w:cols w:equalWidth="0" w:num="2">
            <w:col w:w="5400" w:space="333"/>
            <w:col w:w="5367"/>
          </w:cols>
          <w:pgMar w:left="320" w:top="456" w:right="479" w:bottom="1440" w:gutter="0" w:footer="0" w:header="0"/>
          <w:type w:val="continuous"/>
        </w:sectPr>
      </w:pPr>
    </w:p>
    <w:p>
      <w:pPr>
        <w:spacing w:after="0" w:line="252" w:lineRule="exact"/>
        <w:rPr>
          <w:sz w:val="20"/>
          <w:szCs w:val="20"/>
          <w:color w:val="auto"/>
        </w:rPr>
      </w:pPr>
    </w:p>
    <w:p>
      <w:pPr>
        <w:ind w:left="700" w:hanging="533"/>
        <w:spacing w:after="0"/>
        <w:tabs>
          <w:tab w:leader="none" w:pos="700" w:val="left"/>
        </w:tabs>
        <w:numPr>
          <w:ilvl w:val="0"/>
          <w:numId w:val="30"/>
        </w:numPr>
        <w:rPr>
          <w:rFonts w:ascii="Arial" w:cs="Arial" w:eastAsia="Arial" w:hAnsi="Arial"/>
          <w:sz w:val="24"/>
          <w:szCs w:val="24"/>
          <w:color w:val="0033A0"/>
        </w:rPr>
      </w:pPr>
      <w:r>
        <w:rPr>
          <w:rFonts w:ascii="Arial" w:cs="Arial" w:eastAsia="Arial" w:hAnsi="Arial"/>
          <w:sz w:val="24"/>
          <w:szCs w:val="24"/>
          <w:color w:val="auto"/>
        </w:rPr>
        <w:t>Compensation Committee Interlocks and Insider Participation</w:t>
      </w:r>
    </w:p>
    <w:p>
      <w:pPr>
        <w:sectPr>
          <w:pgSz w:w="11900" w:h="16838" w:orient="portrait"/>
          <w:cols w:equalWidth="0" w:num="1">
            <w:col w:w="11100"/>
          </w:cols>
          <w:pgMar w:left="320" w:top="456" w:right="479" w:bottom="1440" w:gutter="0" w:footer="0" w:header="0"/>
          <w:type w:val="continuous"/>
        </w:sectPr>
      </w:pPr>
    </w:p>
    <w:p>
      <w:pPr>
        <w:spacing w:after="0" w:line="21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Mses. Stephenson and Russo and Messrs. Bush, Jimenez, and Mulva (until May 2019) served on the Compensation Committee in 2019. As of the date of this Proxy Statement, none of the members of the Compensation Committee was or is an officer 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employee of the Company, and no executive officer of the Company served or serves on the compensation committee or board of any company that employed or employs any member of the Company’s Compensation Committee or Board.</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Shareholder Engagement</w:t>
      </w:r>
    </w:p>
    <w:p>
      <w:pPr>
        <w:spacing w:after="0" w:line="20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Members of the Board and senior management routinely engage with shareholders and stakeholders. These engagements help the Board and management gain feedback on a variety of topics, including strategic and financial performance, operations, products, executive compensation, and Board composition and leadership structure, as well as on important environmental and social issues. The constructive insights, experiences, and ideas exchanged during these engagements have helped your Board evaluate and assess key initiatives during the Company’s ongoing transition to an all-electric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1536700</wp:posOffset>
            </wp:positionV>
            <wp:extent cx="6793865" cy="101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spacing w:after="0" w:line="228" w:lineRule="auto"/>
        <w:rPr>
          <w:sz w:val="20"/>
          <w:szCs w:val="20"/>
          <w:color w:val="auto"/>
        </w:rPr>
      </w:pPr>
      <w:r>
        <w:rPr>
          <w:rFonts w:ascii="Arial" w:cs="Arial" w:eastAsia="Arial" w:hAnsi="Arial"/>
          <w:sz w:val="20"/>
          <w:szCs w:val="20"/>
          <w:color w:val="auto"/>
        </w:rPr>
        <w:t>In 2019, members of the Board and senior management engaged with shareholders representing approximately 50 percent of GM’s outstanding shares of common stock. Recent engagements have included:</w:t>
      </w:r>
    </w:p>
    <w:p>
      <w:pPr>
        <w:spacing w:after="0" w:line="62" w:lineRule="exact"/>
        <w:rPr>
          <w:sz w:val="20"/>
          <w:szCs w:val="20"/>
          <w:color w:val="auto"/>
        </w:rPr>
      </w:pPr>
    </w:p>
    <w:p>
      <w:pPr>
        <w:ind w:left="480" w:right="40" w:hanging="273"/>
        <w:spacing w:after="0" w:line="234" w:lineRule="auto"/>
        <w:tabs>
          <w:tab w:leader="none" w:pos="480" w:val="left"/>
        </w:tabs>
        <w:numPr>
          <w:ilvl w:val="0"/>
          <w:numId w:val="31"/>
        </w:numPr>
        <w:rPr>
          <w:rFonts w:ascii="Arial" w:cs="Arial" w:eastAsia="Arial" w:hAnsi="Arial"/>
          <w:sz w:val="20"/>
          <w:szCs w:val="20"/>
          <w:color w:val="00A1DF"/>
        </w:rPr>
      </w:pPr>
      <w:r>
        <w:rPr>
          <w:rFonts w:ascii="Arial" w:cs="Arial" w:eastAsia="Arial" w:hAnsi="Arial"/>
          <w:sz w:val="20"/>
          <w:szCs w:val="20"/>
          <w:color w:val="auto"/>
        </w:rPr>
        <w:t>Presentations by two of our largest shareholders at a Board meeting;</w:t>
      </w:r>
    </w:p>
    <w:p>
      <w:pPr>
        <w:spacing w:after="0" w:line="59" w:lineRule="exact"/>
        <w:rPr>
          <w:rFonts w:ascii="Arial" w:cs="Arial" w:eastAsia="Arial" w:hAnsi="Arial"/>
          <w:sz w:val="20"/>
          <w:szCs w:val="20"/>
          <w:color w:val="00A1DF"/>
        </w:rPr>
      </w:pPr>
    </w:p>
    <w:p>
      <w:pPr>
        <w:ind w:left="480" w:hanging="273"/>
        <w:spacing w:after="0"/>
        <w:tabs>
          <w:tab w:leader="none" w:pos="480" w:val="left"/>
        </w:tabs>
        <w:numPr>
          <w:ilvl w:val="0"/>
          <w:numId w:val="31"/>
        </w:numPr>
        <w:rPr>
          <w:rFonts w:ascii="Arial" w:cs="Arial" w:eastAsia="Arial" w:hAnsi="Arial"/>
          <w:sz w:val="20"/>
          <w:szCs w:val="20"/>
          <w:color w:val="00A1DF"/>
        </w:rPr>
      </w:pPr>
      <w:r>
        <w:rPr>
          <w:rFonts w:ascii="Arial" w:cs="Arial" w:eastAsia="Arial" w:hAnsi="Arial"/>
          <w:sz w:val="20"/>
          <w:szCs w:val="20"/>
          <w:color w:val="auto"/>
        </w:rPr>
        <w:t>Capital Markets Day and EV Week; and</w:t>
      </w:r>
    </w:p>
    <w:p>
      <w:pPr>
        <w:spacing w:after="0" w:line="77" w:lineRule="exact"/>
        <w:rPr>
          <w:rFonts w:ascii="Arial" w:cs="Arial" w:eastAsia="Arial" w:hAnsi="Arial"/>
          <w:sz w:val="20"/>
          <w:szCs w:val="20"/>
          <w:color w:val="00A1DF"/>
        </w:rPr>
      </w:pPr>
    </w:p>
    <w:p>
      <w:pPr>
        <w:ind w:left="480" w:right="40" w:hanging="273"/>
        <w:spacing w:after="0" w:line="234" w:lineRule="auto"/>
        <w:tabs>
          <w:tab w:leader="none" w:pos="480" w:val="left"/>
        </w:tabs>
        <w:numPr>
          <w:ilvl w:val="0"/>
          <w:numId w:val="31"/>
        </w:numPr>
        <w:rPr>
          <w:rFonts w:ascii="Arial" w:cs="Arial" w:eastAsia="Arial" w:hAnsi="Arial"/>
          <w:sz w:val="20"/>
          <w:szCs w:val="20"/>
          <w:color w:val="00A1DF"/>
        </w:rPr>
      </w:pPr>
      <w:r>
        <w:rPr>
          <w:rFonts w:ascii="Arial" w:cs="Arial" w:eastAsia="Arial" w:hAnsi="Arial"/>
          <w:sz w:val="20"/>
          <w:szCs w:val="20"/>
          <w:color w:val="auto"/>
        </w:rPr>
        <w:t>Shareholder visits to our Battery Lab and EV assembly plant.</w:t>
      </w:r>
    </w:p>
    <w:p>
      <w:pPr>
        <w:spacing w:after="0" w:line="127"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See page 40 of this Proxy Statement for feedback and actions taken related to GM’s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227965</wp:posOffset>
            </wp:positionV>
            <wp:extent cx="6114415" cy="823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14415" cy="823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27</w:t>
      </w:r>
    </w:p>
    <w:p>
      <w:pPr>
        <w:sectPr>
          <w:pgSz w:w="11900" w:h="16838" w:orient="portrait"/>
          <w:cols w:equalWidth="0" w:num="1">
            <w:col w:w="11100"/>
          </w:cols>
          <w:pgMar w:left="320" w:top="456" w:right="4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Shareholder Protections and Governance Best Practices</w:t>
      </w:r>
    </w:p>
    <w:p>
      <w:pPr>
        <w:spacing w:after="0" w:line="15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Your Board is committed to governance structures and practices that protect shareholder value and important shareholder rights. The Governance Committee regularly reviews these structures and practices, which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142240</wp:posOffset>
            </wp:positionV>
            <wp:extent cx="5137785" cy="3651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3778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hanging="533"/>
        <w:spacing w:after="0"/>
        <w:tabs>
          <w:tab w:leader="none" w:pos="700" w:val="left"/>
        </w:tabs>
        <w:numPr>
          <w:ilvl w:val="0"/>
          <w:numId w:val="32"/>
        </w:numPr>
        <w:rPr>
          <w:rFonts w:ascii="Arial" w:cs="Arial" w:eastAsia="Arial" w:hAnsi="Arial"/>
          <w:sz w:val="25"/>
          <w:szCs w:val="25"/>
          <w:color w:val="0033A0"/>
        </w:rPr>
      </w:pPr>
      <w:r>
        <w:rPr>
          <w:rFonts w:ascii="Arial" w:cs="Arial" w:eastAsia="Arial" w:hAnsi="Arial"/>
          <w:sz w:val="25"/>
          <w:szCs w:val="25"/>
          <w:color w:val="auto"/>
        </w:rPr>
        <w:t>Corporate Political Contributions and Lobbying Expenditures</w:t>
      </w:r>
    </w:p>
    <w:p>
      <w:pPr>
        <w:sectPr>
          <w:pgSz w:w="11900" w:h="16838" w:orient="portrait"/>
          <w:cols w:equalWidth="0" w:num="1">
            <w:col w:w="11080"/>
          </w:cols>
          <w:pgMar w:left="320" w:top="456" w:right="499" w:bottom="1440" w:gutter="0" w:footer="0" w:header="0"/>
        </w:sectPr>
      </w:pPr>
    </w:p>
    <w:p>
      <w:pPr>
        <w:spacing w:after="0" w:line="202"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We participate in the political process to help shape public policy and address legislation that impacts GM, our industry, and our shareholders and other stakeholders. GM has supported and will continue to support public policies that drive the achievement of our long-term, sustainable growth. To guide our activities, the Board has adopted a U.S. Corporate Political Contributions and Expenditures Policy (“Political Contributions Policy”).</w:t>
      </w:r>
    </w:p>
    <w:p>
      <w:pPr>
        <w:spacing w:after="0" w:line="113"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Governance Committee oversees the Political Contributions Policy and annually reviews the Company’s engagement in the public policy process.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Governance Committee also annually reviews all corporate political contributions, reviews GM Political Action Committee contributions and expenditures (which are funded entirely by voluntary employee contributions) and the process by which they are made and receives multiple updates each year regarding the Company’s lobbying expenditures. The Board also receives a monthly report on the most pressing public policy issues. It uses this report to continuously assess which issues are important to the Company’s long-term interests and which organizations the Company is working with to advance those interests.</w:t>
      </w:r>
    </w:p>
    <w:p>
      <w:pPr>
        <w:spacing w:after="0" w:line="33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28 </w:t>
      </w:r>
      <w:r>
        <w:rPr>
          <w:sz w:val="1"/>
          <w:szCs w:val="1"/>
          <w:color w:val="auto"/>
        </w:rPr>
        <w:drawing>
          <wp:inline distT="0" distB="0" distL="0" distR="0">
            <wp:extent cx="6793865" cy="1016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135255</wp:posOffset>
            </wp:positionV>
            <wp:extent cx="6114415" cy="875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Certain Relationships and Related Party Transactions</w:t>
      </w:r>
    </w:p>
    <w:p>
      <w:pPr>
        <w:sectPr>
          <w:pgSz w:w="11900" w:h="16838" w:orient="portrait"/>
          <w:cols w:equalWidth="0" w:num="1">
            <w:col w:w="11100"/>
          </w:cols>
          <w:pgMar w:left="320" w:top="456" w:right="479" w:bottom="1440" w:gutter="0" w:footer="0" w:header="0"/>
        </w:sectPr>
      </w:pP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auto"/>
        </w:rPr>
        <w:t>Our Code of Conduct requires all of our employees and directors to avoid any activity that is in conflict with our business interests. In addition, your Board has adopted a written policy regarding the review and approval or ratification of “related party transactions” (the “Related Party Transactions Policy”). Under the Related Party Transactions Policy, which is administered by our Governance Committee, directors and executive officers must report any potential related party transactions (including transactions involving immediate family members of directors and executive officers) to the General Counsel or Corporate Secretary to determine whether the transaction constitutes a related party transaction. If any member of the Governance Committee has a potential interest in any related party transaction, such member will recuse himself 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herself and abstain from voting on the approval or ratification of the related party transaction.</w:t>
      </w:r>
    </w:p>
    <w:p>
      <w:pPr>
        <w:spacing w:after="0" w:line="127" w:lineRule="exact"/>
        <w:rPr>
          <w:sz w:val="20"/>
          <w:szCs w:val="20"/>
          <w:color w:val="auto"/>
        </w:rPr>
      </w:pPr>
    </w:p>
    <w:p>
      <w:pPr>
        <w:jc w:val="both"/>
        <w:ind w:right="20"/>
        <w:spacing w:after="0" w:line="224" w:lineRule="auto"/>
        <w:rPr>
          <w:sz w:val="20"/>
          <w:szCs w:val="20"/>
          <w:color w:val="auto"/>
        </w:rPr>
      </w:pPr>
      <w:r>
        <w:rPr>
          <w:rFonts w:ascii="Arial" w:cs="Arial" w:eastAsia="Arial" w:hAnsi="Arial"/>
          <w:sz w:val="20"/>
          <w:szCs w:val="20"/>
          <w:color w:val="auto"/>
        </w:rPr>
        <w:t>For purposes of our Related Party Transactions Policy, a related party transaction includes transactions in which our Company (or a subsidiary), is a participant, the amount involved exceeds $ 120,000, and a “related party” has or will have a direct or an indirect material interest. Related parties of our Company consist of directors (including nominees for election as directors), executive officers, shareholders beneficially owning more than 5% of the Company’s voting securities, and the immediate family members of these individuals. Once a related party transaction has been identified, the Governance Committee will review all of the relevant facts and circumstances and approve or disapprove entry into the transaction. As required under SEC rules, we disclose all related party transactions annually in our Proxy Statement.</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77" w:lineRule="exact"/>
        <w:rPr>
          <w:sz w:val="20"/>
          <w:szCs w:val="20"/>
          <w:color w:val="auto"/>
        </w:rPr>
      </w:pPr>
    </w:p>
    <w:p>
      <w:pPr>
        <w:ind w:left="700" w:hanging="533"/>
        <w:spacing w:after="0"/>
        <w:tabs>
          <w:tab w:leader="none" w:pos="700" w:val="left"/>
        </w:tabs>
        <w:numPr>
          <w:ilvl w:val="0"/>
          <w:numId w:val="33"/>
        </w:numPr>
        <w:rPr>
          <w:rFonts w:ascii="Arial" w:cs="Arial" w:eastAsia="Arial" w:hAnsi="Arial"/>
          <w:sz w:val="24"/>
          <w:szCs w:val="24"/>
          <w:color w:val="0033A0"/>
        </w:rPr>
      </w:pPr>
      <w:r>
        <w:rPr>
          <w:rFonts w:ascii="Arial" w:cs="Arial" w:eastAsia="Arial" w:hAnsi="Arial"/>
          <w:sz w:val="24"/>
          <w:szCs w:val="24"/>
          <w:color w:val="auto"/>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163195</wp:posOffset>
            </wp:positionV>
            <wp:extent cx="6929755" cy="1426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142684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type w:val="continuous"/>
        </w:sectPr>
      </w:pPr>
    </w:p>
    <w:p>
      <w:pPr>
        <w:spacing w:after="0" w:line="308" w:lineRule="exact"/>
        <w:rPr>
          <w:sz w:val="20"/>
          <w:szCs w:val="20"/>
          <w:color w:val="auto"/>
        </w:rPr>
      </w:pPr>
    </w:p>
    <w:p>
      <w:pPr>
        <w:jc w:val="both"/>
        <w:ind w:left="480" w:hanging="213"/>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Whether the terms of the related party transaction are fair</w:t>
      </w:r>
      <w:r>
        <w:rPr>
          <w:rFonts w:ascii="Arial" w:cs="Arial" w:eastAsia="Arial" w:hAnsi="Arial"/>
          <w:sz w:val="20"/>
          <w:szCs w:val="20"/>
          <w:color w:val="00A1DF"/>
        </w:rPr>
        <w:t xml:space="preserve"> </w:t>
      </w:r>
      <w:r>
        <w:rPr>
          <w:rFonts w:ascii="Arial" w:cs="Arial" w:eastAsia="Arial" w:hAnsi="Arial"/>
          <w:sz w:val="20"/>
          <w:szCs w:val="20"/>
          <w:color w:val="000000"/>
        </w:rPr>
        <w:t>to the Company and on the same basis as if the transaction had occurred on an arms-length basis;</w:t>
      </w:r>
    </w:p>
    <w:p>
      <w:pPr>
        <w:spacing w:after="0" w:line="46" w:lineRule="exact"/>
        <w:rPr>
          <w:sz w:val="20"/>
          <w:szCs w:val="20"/>
          <w:color w:val="auto"/>
        </w:rPr>
      </w:pPr>
    </w:p>
    <w:p>
      <w:pPr>
        <w:jc w:val="both"/>
        <w:ind w:left="480" w:hanging="213"/>
        <w:spacing w:after="0"/>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Whether there are any compelling business reasons for</w:t>
      </w:r>
      <w:r>
        <w:rPr>
          <w:rFonts w:ascii="Arial" w:cs="Arial" w:eastAsia="Arial" w:hAnsi="Arial"/>
          <w:sz w:val="20"/>
          <w:szCs w:val="20"/>
          <w:color w:val="00A1DF"/>
        </w:rPr>
        <w:t xml:space="preserve"> </w:t>
      </w:r>
      <w:r>
        <w:rPr>
          <w:rFonts w:ascii="Arial" w:cs="Arial" w:eastAsia="Arial" w:hAnsi="Arial"/>
          <w:sz w:val="20"/>
          <w:szCs w:val="20"/>
          <w:color w:val="000000"/>
        </w:rPr>
        <w:t>the Company to enter into the related party transaction and the nature of alternative transactions, if any;</w:t>
      </w:r>
    </w:p>
    <w:p>
      <w:pPr>
        <w:spacing w:after="0" w:line="86" w:lineRule="exact"/>
        <w:rPr>
          <w:sz w:val="20"/>
          <w:szCs w:val="20"/>
          <w:color w:val="auto"/>
        </w:rPr>
      </w:pPr>
    </w:p>
    <w:p>
      <w:pPr>
        <w:jc w:val="both"/>
        <w:ind w:left="480" w:hanging="213"/>
        <w:spacing w:after="0" w:line="256"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Whether the related party transaction would impair the</w:t>
      </w:r>
      <w:r>
        <w:rPr>
          <w:rFonts w:ascii="Arial" w:cs="Arial" w:eastAsia="Arial" w:hAnsi="Arial"/>
          <w:sz w:val="20"/>
          <w:szCs w:val="20"/>
          <w:color w:val="00A1DF"/>
        </w:rPr>
        <w:t xml:space="preserve"> </w:t>
      </w:r>
      <w:r>
        <w:rPr>
          <w:rFonts w:ascii="Arial" w:cs="Arial" w:eastAsia="Arial" w:hAnsi="Arial"/>
          <w:sz w:val="20"/>
          <w:szCs w:val="20"/>
          <w:color w:val="000000"/>
        </w:rPr>
        <w:t>independence of an otherwise independent director;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ind w:right="120" w:hanging="213"/>
        <w:spacing w:after="0" w:line="233" w:lineRule="auto"/>
        <w:rPr>
          <w:sz w:val="20"/>
          <w:szCs w:val="20"/>
          <w:color w:val="auto"/>
        </w:rPr>
      </w:pPr>
      <w:r>
        <w:rPr>
          <w:rFonts w:ascii="Arial" w:cs="Arial" w:eastAsia="Arial" w:hAnsi="Arial"/>
          <w:sz w:val="20"/>
          <w:szCs w:val="20"/>
          <w:color w:val="00A1DF"/>
        </w:rPr>
        <w:t xml:space="preserve">u </w:t>
      </w:r>
      <w:r>
        <w:rPr>
          <w:rFonts w:ascii="Arial" w:cs="Arial" w:eastAsia="Arial" w:hAnsi="Arial"/>
          <w:sz w:val="20"/>
          <w:szCs w:val="20"/>
          <w:color w:val="000000"/>
        </w:rPr>
        <w:t>Whether the Company was notified about the related</w:t>
      </w:r>
      <w:r>
        <w:rPr>
          <w:rFonts w:ascii="Arial" w:cs="Arial" w:eastAsia="Arial" w:hAnsi="Arial"/>
          <w:sz w:val="20"/>
          <w:szCs w:val="20"/>
          <w:color w:val="00A1DF"/>
        </w:rPr>
        <w:t xml:space="preserve"> </w:t>
      </w:r>
      <w:r>
        <w:rPr>
          <w:rFonts w:ascii="Arial" w:cs="Arial" w:eastAsia="Arial" w:hAnsi="Arial"/>
          <w:sz w:val="20"/>
          <w:szCs w:val="20"/>
          <w:color w:val="000000"/>
        </w:rPr>
        <w:t>party transaction before its commencement, and if not, why preapproval was not sought and whether subsequent ratification would be detrimental to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-697865</wp:posOffset>
            </wp:positionV>
            <wp:extent cx="3456305" cy="1384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56305" cy="1384300"/>
                    </a:xfrm>
                    <a:prstGeom prst="rect">
                      <a:avLst/>
                    </a:prstGeom>
                    <a:noFill/>
                  </pic:spPr>
                </pic:pic>
              </a:graphicData>
            </a:graphic>
          </wp:anchor>
        </w:drawing>
      </w:r>
    </w:p>
    <w:p>
      <w:pPr>
        <w:spacing w:after="0" w:line="27" w:lineRule="exact"/>
        <w:rPr>
          <w:sz w:val="20"/>
          <w:szCs w:val="20"/>
          <w:color w:val="auto"/>
        </w:rPr>
      </w:pPr>
    </w:p>
    <w:p>
      <w:pPr>
        <w:jc w:val="both"/>
        <w:ind w:right="120" w:hanging="213"/>
        <w:spacing w:after="0" w:line="251" w:lineRule="auto"/>
        <w:rPr>
          <w:sz w:val="20"/>
          <w:szCs w:val="20"/>
          <w:color w:val="auto"/>
        </w:rPr>
      </w:pPr>
      <w:r>
        <w:rPr>
          <w:rFonts w:ascii="Arial" w:cs="Arial" w:eastAsia="Arial" w:hAnsi="Arial"/>
          <w:sz w:val="19"/>
          <w:szCs w:val="19"/>
          <w:color w:val="00A1DF"/>
        </w:rPr>
        <w:t xml:space="preserve">u </w:t>
      </w:r>
      <w:r>
        <w:rPr>
          <w:rFonts w:ascii="Arial" w:cs="Arial" w:eastAsia="Arial" w:hAnsi="Arial"/>
          <w:sz w:val="19"/>
          <w:szCs w:val="19"/>
          <w:color w:val="000000"/>
        </w:rPr>
        <w:t>Whether the related party transaction would present an</w:t>
      </w:r>
      <w:r>
        <w:rPr>
          <w:rFonts w:ascii="Arial" w:cs="Arial" w:eastAsia="Arial" w:hAnsi="Arial"/>
          <w:sz w:val="19"/>
          <w:szCs w:val="19"/>
          <w:color w:val="00A1DF"/>
        </w:rPr>
        <w:t xml:space="preserve"> </w:t>
      </w:r>
      <w:r>
        <w:rPr>
          <w:rFonts w:ascii="Arial" w:cs="Arial" w:eastAsia="Arial" w:hAnsi="Arial"/>
          <w:sz w:val="19"/>
          <w:szCs w:val="19"/>
          <w:color w:val="000000"/>
        </w:rPr>
        <w:t>improper conflict of interest for any director or executive officer of the Company, taking into account the specific facts and circumstances of such transaction.</w:t>
      </w:r>
    </w:p>
    <w:p>
      <w:pPr>
        <w:spacing w:after="0" w:line="200" w:lineRule="exact"/>
        <w:rPr>
          <w:sz w:val="20"/>
          <w:szCs w:val="20"/>
          <w:color w:val="auto"/>
        </w:rPr>
      </w:pPr>
    </w:p>
    <w:p>
      <w:pPr>
        <w:sectPr>
          <w:pgSz w:w="11900" w:h="16838" w:orient="portrait"/>
          <w:cols w:equalWidth="0" w:num="2">
            <w:col w:w="5520" w:space="540"/>
            <w:col w:w="5040"/>
          </w:cols>
          <w:pgMar w:left="320" w:top="456" w:right="479" w:bottom="1440" w:gutter="0" w:footer="0" w:header="0"/>
          <w:type w:val="continuous"/>
        </w:sectPr>
      </w:pPr>
    </w:p>
    <w:p>
      <w:pPr>
        <w:spacing w:after="0" w:line="130"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In 2019, the son of Craig Glidden, employed by Cruise as a Manager, Reliability and Lifecycle Planning, had a salary and bonus in excess of $120,000; and two holders of 5% or more of the Company’s common stock – BlackRock and Vanguard – provided investment management services to Company-sponsored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29</w:t>
      </w:r>
    </w:p>
    <w:p>
      <w:pPr>
        <w:sectPr>
          <w:pgSz w:w="11900" w:h="16838" w:orient="portrait"/>
          <w:cols w:equalWidth="0" w:num="1">
            <w:col w:w="11100"/>
          </w:cols>
          <w:pgMar w:left="320" w:top="456" w:right="4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SPOTLIGHT ON KEY ESG INITIATIVES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Environmental &amp; 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156845</wp:posOffset>
            </wp:positionV>
            <wp:extent cx="6114415" cy="7065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706564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30 </w:t>
      </w:r>
      <w:r>
        <w:rPr>
          <w:sz w:val="1"/>
          <w:szCs w:val="1"/>
          <w:color w:val="auto"/>
        </w:rPr>
        <w:drawing>
          <wp:inline distT="0" distB="0" distL="0" distR="0">
            <wp:extent cx="6793865" cy="1016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0033A0"/>
        </w:rPr>
        <w:t>SPOTLIGHT ON KEY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Creating a Workplace of Choice</w:t>
      </w:r>
    </w:p>
    <w:p>
      <w:pPr>
        <w:spacing w:after="0" w:line="150" w:lineRule="exact"/>
        <w:rPr>
          <w:sz w:val="20"/>
          <w:szCs w:val="20"/>
          <w:color w:val="auto"/>
        </w:rPr>
      </w:pPr>
    </w:p>
    <w:p>
      <w:pPr>
        <w:jc w:val="both"/>
        <w:ind w:left="160" w:right="20"/>
        <w:spacing w:after="0" w:line="238" w:lineRule="auto"/>
        <w:rPr>
          <w:sz w:val="20"/>
          <w:szCs w:val="20"/>
          <w:color w:val="auto"/>
        </w:rPr>
      </w:pPr>
      <w:r>
        <w:rPr>
          <w:rFonts w:ascii="Arial" w:cs="Arial" w:eastAsia="Arial" w:hAnsi="Arial"/>
          <w:sz w:val="19"/>
          <w:szCs w:val="19"/>
          <w:color w:val="auto"/>
        </w:rPr>
        <w:t>Our work is personal and tied to a greater mission - and that’s to move humanity forward. We know we have the capability, talent, and the technology to realize a safer, better, more sustainable world for everyone, which starts and ends with our workforce. To remain competitive, GM must continue to attract and retain the brightest talent around the world. We are working hard to build an inclusive and unified workforce – a true Workplace of Choice. Today, we compete for talent against not just other automotive companies, but, increasingly, sophisticated technology companies. We strive to build our workforce across various key dimensions, including teamwork, fairness, trust, growth, commitment, recognition, and impact.</w:t>
      </w:r>
    </w:p>
    <w:p>
      <w:pPr>
        <w:spacing w:after="0" w:line="323" w:lineRule="exact"/>
        <w:rPr>
          <w:sz w:val="20"/>
          <w:szCs w:val="20"/>
          <w:color w:val="auto"/>
        </w:rPr>
      </w:pPr>
    </w:p>
    <w:p>
      <w:pPr>
        <w:ind w:left="700" w:hanging="533"/>
        <w:spacing w:after="0"/>
        <w:tabs>
          <w:tab w:leader="none" w:pos="700" w:val="left"/>
        </w:tabs>
        <w:numPr>
          <w:ilvl w:val="0"/>
          <w:numId w:val="34"/>
        </w:numPr>
        <w:rPr>
          <w:rFonts w:ascii="Arial" w:cs="Arial" w:eastAsia="Arial" w:hAnsi="Arial"/>
          <w:sz w:val="25"/>
          <w:szCs w:val="25"/>
          <w:color w:val="0033A0"/>
        </w:rPr>
      </w:pPr>
      <w:r>
        <w:rPr>
          <w:rFonts w:ascii="Arial" w:cs="Arial" w:eastAsia="Arial" w:hAnsi="Arial"/>
          <w:sz w:val="25"/>
          <w:szCs w:val="25"/>
          <w:color w:val="auto"/>
        </w:rPr>
        <w:t>Key Workforce Priorities</w:t>
      </w:r>
    </w:p>
    <w:p>
      <w:pPr>
        <w:spacing w:after="0" w:line="149" w:lineRule="exact"/>
        <w:rPr>
          <w:sz w:val="20"/>
          <w:szCs w:val="20"/>
          <w:color w:val="auto"/>
        </w:rPr>
      </w:pPr>
    </w:p>
    <w:p>
      <w:pPr>
        <w:ind w:left="1020" w:hanging="318"/>
        <w:spacing w:after="0"/>
        <w:tabs>
          <w:tab w:leader="none" w:pos="1020" w:val="left"/>
        </w:tabs>
        <w:numPr>
          <w:ilvl w:val="0"/>
          <w:numId w:val="35"/>
        </w:numPr>
        <w:rPr>
          <w:rFonts w:ascii="Arial" w:cs="Arial" w:eastAsia="Arial" w:hAnsi="Arial"/>
          <w:sz w:val="20"/>
          <w:szCs w:val="20"/>
          <w:color w:val="00A1DF"/>
        </w:rPr>
      </w:pPr>
      <w:r>
        <w:rPr>
          <w:rFonts w:ascii="Arial" w:cs="Arial" w:eastAsia="Arial" w:hAnsi="Arial"/>
          <w:sz w:val="20"/>
          <w:szCs w:val="20"/>
          <w:u w:val="single" w:color="auto"/>
          <w:color w:val="auto"/>
        </w:rPr>
        <w:t>Talent Acquisition</w:t>
      </w:r>
      <w:r>
        <w:rPr>
          <w:rFonts w:ascii="Arial" w:cs="Arial" w:eastAsia="Arial" w:hAnsi="Arial"/>
          <w:sz w:val="20"/>
          <w:szCs w:val="20"/>
          <w:color w:val="auto"/>
        </w:rPr>
        <w:t>: Hiring and retaining top talent.</w:t>
      </w:r>
    </w:p>
    <w:p>
      <w:pPr>
        <w:spacing w:after="0" w:line="117" w:lineRule="exact"/>
        <w:rPr>
          <w:rFonts w:ascii="Arial" w:cs="Arial" w:eastAsia="Arial" w:hAnsi="Arial"/>
          <w:sz w:val="20"/>
          <w:szCs w:val="20"/>
          <w:color w:val="00A1DF"/>
        </w:rPr>
      </w:pPr>
    </w:p>
    <w:p>
      <w:pPr>
        <w:ind w:left="1020" w:right="20" w:hanging="318"/>
        <w:spacing w:after="0" w:line="234" w:lineRule="auto"/>
        <w:tabs>
          <w:tab w:leader="none" w:pos="1020" w:val="left"/>
        </w:tabs>
        <w:numPr>
          <w:ilvl w:val="0"/>
          <w:numId w:val="35"/>
        </w:numPr>
        <w:rPr>
          <w:rFonts w:ascii="Arial" w:cs="Arial" w:eastAsia="Arial" w:hAnsi="Arial"/>
          <w:sz w:val="20"/>
          <w:szCs w:val="20"/>
          <w:color w:val="00A1DF"/>
        </w:rPr>
      </w:pPr>
      <w:r>
        <w:rPr>
          <w:rFonts w:ascii="Arial" w:cs="Arial" w:eastAsia="Arial" w:hAnsi="Arial"/>
          <w:sz w:val="20"/>
          <w:szCs w:val="20"/>
          <w:u w:val="single" w:color="auto"/>
          <w:color w:val="auto"/>
        </w:rPr>
        <w:t>Talent Engagement</w:t>
      </w:r>
      <w:r>
        <w:rPr>
          <w:rFonts w:ascii="Arial" w:cs="Arial" w:eastAsia="Arial" w:hAnsi="Arial"/>
          <w:sz w:val="20"/>
          <w:szCs w:val="20"/>
          <w:color w:val="auto"/>
        </w:rPr>
        <w:t>: Creating a positive work environment and a place where employees feel inspired to do their best work and feel valued for doing it.</w:t>
      </w:r>
    </w:p>
    <w:p>
      <w:pPr>
        <w:spacing w:after="0" w:line="99" w:lineRule="exact"/>
        <w:rPr>
          <w:rFonts w:ascii="Arial" w:cs="Arial" w:eastAsia="Arial" w:hAnsi="Arial"/>
          <w:sz w:val="20"/>
          <w:szCs w:val="20"/>
          <w:color w:val="00A1DF"/>
        </w:rPr>
      </w:pPr>
    </w:p>
    <w:p>
      <w:pPr>
        <w:ind w:left="1020" w:hanging="318"/>
        <w:spacing w:after="0"/>
        <w:tabs>
          <w:tab w:leader="none" w:pos="1020" w:val="left"/>
        </w:tabs>
        <w:numPr>
          <w:ilvl w:val="0"/>
          <w:numId w:val="35"/>
        </w:numPr>
        <w:rPr>
          <w:rFonts w:ascii="Arial" w:cs="Arial" w:eastAsia="Arial" w:hAnsi="Arial"/>
          <w:sz w:val="20"/>
          <w:szCs w:val="20"/>
          <w:color w:val="00A1DF"/>
        </w:rPr>
      </w:pPr>
      <w:r>
        <w:rPr>
          <w:rFonts w:ascii="Arial" w:cs="Arial" w:eastAsia="Arial" w:hAnsi="Arial"/>
          <w:sz w:val="20"/>
          <w:szCs w:val="20"/>
          <w:u w:val="single" w:color="auto"/>
          <w:color w:val="auto"/>
        </w:rPr>
        <w:t>Talent Development</w:t>
      </w:r>
      <w:r>
        <w:rPr>
          <w:rFonts w:ascii="Arial" w:cs="Arial" w:eastAsia="Arial" w:hAnsi="Arial"/>
          <w:sz w:val="20"/>
          <w:szCs w:val="20"/>
          <w:color w:val="auto"/>
        </w:rPr>
        <w:t>: Increasing the number and variety of career resources available to employees.</w:t>
      </w:r>
    </w:p>
    <w:p>
      <w:pPr>
        <w:spacing w:after="0" w:line="117" w:lineRule="exact"/>
        <w:rPr>
          <w:rFonts w:ascii="Arial" w:cs="Arial" w:eastAsia="Arial" w:hAnsi="Arial"/>
          <w:sz w:val="20"/>
          <w:szCs w:val="20"/>
          <w:color w:val="00A1DF"/>
        </w:rPr>
      </w:pPr>
    </w:p>
    <w:p>
      <w:pPr>
        <w:jc w:val="both"/>
        <w:ind w:left="1020" w:right="20" w:hanging="318"/>
        <w:spacing w:after="0" w:line="228" w:lineRule="auto"/>
        <w:tabs>
          <w:tab w:leader="none" w:pos="1020" w:val="left"/>
        </w:tabs>
        <w:numPr>
          <w:ilvl w:val="0"/>
          <w:numId w:val="35"/>
        </w:numPr>
        <w:rPr>
          <w:rFonts w:ascii="Arial" w:cs="Arial" w:eastAsia="Arial" w:hAnsi="Arial"/>
          <w:sz w:val="20"/>
          <w:szCs w:val="20"/>
          <w:color w:val="00A1DF"/>
        </w:rPr>
      </w:pPr>
      <w:r>
        <w:rPr>
          <w:rFonts w:ascii="Arial" w:cs="Arial" w:eastAsia="Arial" w:hAnsi="Arial"/>
          <w:sz w:val="20"/>
          <w:szCs w:val="20"/>
          <w:u w:val="single" w:color="auto"/>
          <w:color w:val="auto"/>
        </w:rPr>
        <w:t>Wellness and Benefits</w:t>
      </w:r>
      <w:r>
        <w:rPr>
          <w:rFonts w:ascii="Arial" w:cs="Arial" w:eastAsia="Arial" w:hAnsi="Arial"/>
          <w:sz w:val="20"/>
          <w:szCs w:val="20"/>
          <w:color w:val="auto"/>
        </w:rPr>
        <w:t>: Providing benefits that help employees balance their jobs with other aspects of their lives: a living wage; quality health care; 401K plans with matching programs; paid time off for vacations, illness, parental, and military leave; health and well-being programs; and a focus on accomplishing work-related tasks rather than spending a certain number of hours in the office.</w:t>
      </w:r>
    </w:p>
    <w:p>
      <w:pPr>
        <w:spacing w:after="0" w:line="102" w:lineRule="exact"/>
        <w:rPr>
          <w:rFonts w:ascii="Arial" w:cs="Arial" w:eastAsia="Arial" w:hAnsi="Arial"/>
          <w:sz w:val="20"/>
          <w:szCs w:val="20"/>
          <w:color w:val="00A1DF"/>
        </w:rPr>
      </w:pPr>
    </w:p>
    <w:p>
      <w:pPr>
        <w:ind w:left="1020" w:right="20" w:hanging="318"/>
        <w:spacing w:after="0" w:line="234" w:lineRule="auto"/>
        <w:tabs>
          <w:tab w:leader="none" w:pos="1020" w:val="left"/>
        </w:tabs>
        <w:numPr>
          <w:ilvl w:val="0"/>
          <w:numId w:val="35"/>
        </w:numPr>
        <w:rPr>
          <w:rFonts w:ascii="Arial" w:cs="Arial" w:eastAsia="Arial" w:hAnsi="Arial"/>
          <w:sz w:val="20"/>
          <w:szCs w:val="20"/>
          <w:color w:val="00A1DF"/>
        </w:rPr>
      </w:pPr>
      <w:r>
        <w:rPr>
          <w:rFonts w:ascii="Arial" w:cs="Arial" w:eastAsia="Arial" w:hAnsi="Arial"/>
          <w:sz w:val="20"/>
          <w:szCs w:val="20"/>
          <w:u w:val="single" w:color="auto"/>
          <w:color w:val="auto"/>
        </w:rPr>
        <w:t>Labor Relations</w:t>
      </w:r>
      <w:r>
        <w:rPr>
          <w:rFonts w:ascii="Arial" w:cs="Arial" w:eastAsia="Arial" w:hAnsi="Arial"/>
          <w:sz w:val="20"/>
          <w:szCs w:val="20"/>
          <w:color w:val="auto"/>
        </w:rPr>
        <w:t>: Respecting our employees’ right to freedom of association in all countries and complying with our obligation to satisfy all local labor laws and regulations.</w:t>
      </w:r>
    </w:p>
    <w:p>
      <w:pPr>
        <w:spacing w:after="0" w:line="319" w:lineRule="exact"/>
        <w:rPr>
          <w:sz w:val="20"/>
          <w:szCs w:val="20"/>
          <w:color w:val="auto"/>
        </w:rPr>
      </w:pPr>
    </w:p>
    <w:p>
      <w:pPr>
        <w:ind w:left="700" w:hanging="533"/>
        <w:spacing w:after="0"/>
        <w:tabs>
          <w:tab w:leader="none" w:pos="700" w:val="left"/>
        </w:tabs>
        <w:numPr>
          <w:ilvl w:val="0"/>
          <w:numId w:val="36"/>
        </w:numPr>
        <w:rPr>
          <w:rFonts w:ascii="Arial" w:cs="Arial" w:eastAsia="Arial" w:hAnsi="Arial"/>
          <w:sz w:val="25"/>
          <w:szCs w:val="25"/>
          <w:color w:val="0033A0"/>
        </w:rPr>
      </w:pPr>
      <w:r>
        <w:rPr>
          <w:rFonts w:ascii="Arial" w:cs="Arial" w:eastAsia="Arial" w:hAnsi="Arial"/>
          <w:sz w:val="25"/>
          <w:szCs w:val="25"/>
          <w:color w:val="auto"/>
        </w:rPr>
        <w:t>Diversity and Inclusion</w:t>
      </w:r>
    </w:p>
    <w:p>
      <w:pPr>
        <w:spacing w:after="0" w:line="135" w:lineRule="exact"/>
        <w:rPr>
          <w:sz w:val="20"/>
          <w:szCs w:val="20"/>
          <w:color w:val="auto"/>
        </w:rPr>
      </w:pPr>
    </w:p>
    <w:p>
      <w:pPr>
        <w:jc w:val="both"/>
        <w:ind w:left="160" w:right="20"/>
        <w:spacing w:after="0" w:line="226" w:lineRule="auto"/>
        <w:rPr>
          <w:sz w:val="20"/>
          <w:szCs w:val="20"/>
          <w:color w:val="auto"/>
        </w:rPr>
      </w:pPr>
      <w:r>
        <w:rPr>
          <w:rFonts w:ascii="Arial" w:cs="Arial" w:eastAsia="Arial" w:hAnsi="Arial"/>
          <w:sz w:val="20"/>
          <w:szCs w:val="20"/>
          <w:color w:val="auto"/>
        </w:rPr>
        <w:t>An integral part of GM’s mission to build a Workplace of Choice is creating an inclusive culture that welcomes and celebrates diversity. Our path to innovation starts and ends with our employees, who are fundamental to the vibrancy and success of our company. Everything we accomplish depends on their abilities and engagement. This is why we have established employee development programs that address both individual and business needs, as well as effective recruitment programs that reach out to diverse populations. In particular, GM has long been a global leader in advocating for women’s equality in the workplace, with women in approximately 34 percent of our top management positions. GM is currently the only company among the Fortune 20 that has both a female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793865" cy="1443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93865"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31</w:t>
      </w:r>
    </w:p>
    <w:p>
      <w:pPr>
        <w:sectPr>
          <w:pgSz w:w="11900" w:h="16838" w:orient="portrait"/>
          <w:cols w:equalWidth="0" w:num="1">
            <w:col w:w="11100"/>
          </w:cols>
          <w:pgMar w:left="320" w:top="45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SPOTLIGHT ON KEY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Responsible Sourcing</w:t>
      </w:r>
    </w:p>
    <w:p>
      <w:pPr>
        <w:spacing w:after="0" w:line="150"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At GM, we recognize that our impact goes beyond our walls to include our entire value chain, of which suppliers make up a significant part. As a result, we seek to partner with suppliers who share our purpose and values.</w:t>
      </w:r>
    </w:p>
    <w:p>
      <w:pPr>
        <w:spacing w:after="0" w:line="319" w:lineRule="exact"/>
        <w:rPr>
          <w:sz w:val="20"/>
          <w:szCs w:val="20"/>
          <w:color w:val="auto"/>
        </w:rPr>
      </w:pPr>
    </w:p>
    <w:p>
      <w:pPr>
        <w:ind w:left="700" w:hanging="533"/>
        <w:spacing w:after="0"/>
        <w:tabs>
          <w:tab w:leader="none" w:pos="700" w:val="left"/>
        </w:tabs>
        <w:numPr>
          <w:ilvl w:val="0"/>
          <w:numId w:val="37"/>
        </w:numPr>
        <w:rPr>
          <w:rFonts w:ascii="Arial" w:cs="Arial" w:eastAsia="Arial" w:hAnsi="Arial"/>
          <w:sz w:val="25"/>
          <w:szCs w:val="25"/>
          <w:color w:val="0033A0"/>
        </w:rPr>
      </w:pPr>
      <w:r>
        <w:rPr>
          <w:rFonts w:ascii="Arial" w:cs="Arial" w:eastAsia="Arial" w:hAnsi="Arial"/>
          <w:sz w:val="25"/>
          <w:szCs w:val="25"/>
          <w:color w:val="auto"/>
        </w:rPr>
        <w:t>Holding Our Suppliers Accountable</w:t>
      </w:r>
    </w:p>
    <w:p>
      <w:pPr>
        <w:spacing w:after="0" w:line="135"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Our Supplier Code of Conduct and supplier contracts set forth expectations for ethical social, business, and environmental practices; and our major suppliers must certify compliance. Beyond our Supplier Code of Conduct, we outline our expectations for supplier conduct in purchase contract terms and conditions. These clearly state our prohibition against any use of child labor or any other form of forced or involuntary labor, abusive treatment of employees, or corrupt business practices in the supplying of goods and services to us. Furthermore, our contracts lay out expectations for lawful compliance with data protection and privacy; wages; hours and conditions of employment; subcontractor selection; anti-discrimination; occupational health/safety, and motor vehicle safety. By choosing to do business with GM, our suppliers accept our terms and conditions, and for our largest suppliers we also expect that they certify compliance with laws in the provisions of our contract. Additionally, we provide our suppliers with access to the same communication tools—the AwareLine, Speak Up For Safety, Global Response Incident Reporting and others—that our own employees use to raise concerns. We also hold various webinars and provide external training to improve supplier operations, primarily in the areas of environmental management, workplace conditions, ethics,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142875</wp:posOffset>
            </wp:positionV>
            <wp:extent cx="6114415" cy="2811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281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32 </w:t>
      </w:r>
      <w:r>
        <w:rPr>
          <w:sz w:val="1"/>
          <w:szCs w:val="1"/>
          <w:color w:val="auto"/>
        </w:rPr>
        <w:drawing>
          <wp:inline distT="0" distB="0" distL="0" distR="0">
            <wp:extent cx="6793865" cy="1016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SECURITY OWNERSHIP INFORMATION</w:t>
      </w:r>
    </w:p>
    <w:p>
      <w:pPr>
        <w:spacing w:after="0" w:line="153" w:lineRule="exact"/>
        <w:rPr>
          <w:sz w:val="20"/>
          <w:szCs w:val="20"/>
          <w:color w:val="auto"/>
        </w:rPr>
      </w:pPr>
    </w:p>
    <w:p>
      <w:pPr>
        <w:ind w:left="160" w:right="120"/>
        <w:spacing w:after="0" w:line="256" w:lineRule="auto"/>
        <w:rPr>
          <w:sz w:val="20"/>
          <w:szCs w:val="20"/>
          <w:color w:val="auto"/>
        </w:rPr>
      </w:pPr>
      <w:r>
        <w:rPr>
          <w:rFonts w:ascii="Arial" w:cs="Arial" w:eastAsia="Arial" w:hAnsi="Arial"/>
          <w:sz w:val="31"/>
          <w:szCs w:val="31"/>
          <w:color w:val="00A1DF"/>
        </w:rPr>
        <w:t>Security Ownership of Directors, Named Executive Officers, and Certain Other Beneficial Owners</w:t>
      </w:r>
    </w:p>
    <w:p>
      <w:pPr>
        <w:spacing w:after="0" w:line="107"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auto"/>
        </w:rPr>
        <w:t>The following table and accompanying footnotes show information regarding the beneficial ownership of GM’s issued and outstanding common stock by (i) each of our directors and NEOs, and all directors and executive officers as a group, each as of April 1, 2020, and (ii) each person known by us to beneficially own more than 5% of the issued and outstanding common stock as of the dates indicated in the footnotes. All directors and executive officers have sole voting and dispositive power over the shares. The Percentage of Outstanding Shares is based on 1,432,276,664 shares issued and outstanding as of April 1, 2020.</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00" w:type="dxa"/>
            <w:vAlign w:val="bottom"/>
            <w:tcBorders>
              <w:top w:val="single" w:sz="8" w:color="00A1DF"/>
            </w:tcBorders>
          </w:tcPr>
          <w:p>
            <w:pPr>
              <w:spacing w:after="0"/>
              <w:rPr>
                <w:sz w:val="17"/>
                <w:szCs w:val="17"/>
                <w:color w:val="auto"/>
              </w:rPr>
            </w:pPr>
          </w:p>
        </w:tc>
        <w:tc>
          <w:tcPr>
            <w:tcW w:w="2080" w:type="dxa"/>
            <w:vAlign w:val="bottom"/>
            <w:tcBorders>
              <w:top w:val="single" w:sz="8" w:color="00A1DF"/>
            </w:tcBorders>
          </w:tcPr>
          <w:p>
            <w:pPr>
              <w:spacing w:after="0"/>
              <w:rPr>
                <w:sz w:val="17"/>
                <w:szCs w:val="17"/>
                <w:color w:val="auto"/>
              </w:rPr>
            </w:pPr>
          </w:p>
        </w:tc>
        <w:tc>
          <w:tcPr>
            <w:tcW w:w="120" w:type="dxa"/>
            <w:vAlign w:val="bottom"/>
            <w:tcBorders>
              <w:top w:val="single" w:sz="8" w:color="00A1DF"/>
            </w:tcBorders>
          </w:tcPr>
          <w:p>
            <w:pPr>
              <w:spacing w:after="0"/>
              <w:rPr>
                <w:sz w:val="17"/>
                <w:szCs w:val="17"/>
                <w:color w:val="auto"/>
              </w:rPr>
            </w:pPr>
          </w:p>
        </w:tc>
        <w:tc>
          <w:tcPr>
            <w:tcW w:w="540" w:type="dxa"/>
            <w:vAlign w:val="bottom"/>
            <w:tcBorders>
              <w:top w:val="single" w:sz="8" w:color="00A1DF"/>
            </w:tcBorders>
          </w:tcPr>
          <w:p>
            <w:pPr>
              <w:spacing w:after="0"/>
              <w:rPr>
                <w:sz w:val="17"/>
                <w:szCs w:val="17"/>
                <w:color w:val="auto"/>
              </w:rPr>
            </w:pPr>
          </w:p>
        </w:tc>
        <w:tc>
          <w:tcPr>
            <w:tcW w:w="3320" w:type="dxa"/>
            <w:vAlign w:val="bottom"/>
            <w:tcBorders>
              <w:top w:val="single" w:sz="8" w:color="00A1DF"/>
            </w:tcBorders>
          </w:tcPr>
          <w:p>
            <w:pPr>
              <w:spacing w:after="0"/>
              <w:rPr>
                <w:sz w:val="17"/>
                <w:szCs w:val="17"/>
                <w:color w:val="auto"/>
              </w:rPr>
            </w:pPr>
          </w:p>
        </w:tc>
        <w:tc>
          <w:tcPr>
            <w:tcW w:w="3040" w:type="dxa"/>
            <w:vAlign w:val="bottom"/>
            <w:tcBorders>
              <w:top w:val="single" w:sz="8" w:color="00A1DF"/>
            </w:tcBorders>
          </w:tcPr>
          <w:p>
            <w:pPr>
              <w:jc w:val="right"/>
              <w:ind w:right="591"/>
              <w:spacing w:after="0" w:line="205" w:lineRule="exact"/>
              <w:rPr>
                <w:sz w:val="20"/>
                <w:szCs w:val="20"/>
                <w:color w:val="auto"/>
              </w:rPr>
            </w:pPr>
            <w:r>
              <w:rPr>
                <w:rFonts w:ascii="Arial" w:cs="Arial" w:eastAsia="Arial" w:hAnsi="Arial"/>
                <w:sz w:val="18"/>
                <w:szCs w:val="18"/>
                <w:b w:val="1"/>
                <w:bCs w:val="1"/>
                <w:color w:val="00A1DF"/>
              </w:rPr>
              <w:t>Shares of Common</w:t>
            </w:r>
          </w:p>
        </w:tc>
        <w:tc>
          <w:tcPr>
            <w:tcW w:w="1720" w:type="dxa"/>
            <w:vAlign w:val="bottom"/>
            <w:tcBorders>
              <w:top w:val="single" w:sz="8" w:color="00A1DF"/>
            </w:tcBorders>
          </w:tcPr>
          <w:p>
            <w:pPr>
              <w:jc w:val="right"/>
              <w:spacing w:after="0" w:line="205" w:lineRule="exact"/>
              <w:rPr>
                <w:sz w:val="20"/>
                <w:szCs w:val="20"/>
                <w:color w:val="auto"/>
              </w:rPr>
            </w:pPr>
            <w:r>
              <w:rPr>
                <w:rFonts w:ascii="Arial" w:cs="Arial" w:eastAsia="Arial" w:hAnsi="Arial"/>
                <w:sz w:val="18"/>
                <w:szCs w:val="18"/>
                <w:b w:val="1"/>
                <w:bCs w:val="1"/>
                <w:color w:val="00A1DF"/>
              </w:rPr>
              <w:t>Percentage of</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right"/>
              <w:ind w:right="591"/>
              <w:spacing w:after="0" w:line="201" w:lineRule="exact"/>
              <w:rPr>
                <w:sz w:val="20"/>
                <w:szCs w:val="20"/>
                <w:color w:val="auto"/>
              </w:rPr>
            </w:pPr>
            <w:r>
              <w:rPr>
                <w:rFonts w:ascii="Arial" w:cs="Arial" w:eastAsia="Arial" w:hAnsi="Arial"/>
                <w:sz w:val="18"/>
                <w:szCs w:val="18"/>
                <w:b w:val="1"/>
                <w:bCs w:val="1"/>
                <w:color w:val="00A1DF"/>
              </w:rPr>
              <w:t>Stock Beneficially</w:t>
            </w:r>
          </w:p>
        </w:tc>
        <w:tc>
          <w:tcPr>
            <w:tcW w:w="1720" w:type="dxa"/>
            <w:vAlign w:val="bottom"/>
          </w:tcPr>
          <w:p>
            <w:pPr>
              <w:jc w:val="center"/>
              <w:ind w:left="471"/>
              <w:spacing w:after="0" w:line="201" w:lineRule="exact"/>
              <w:rPr>
                <w:sz w:val="20"/>
                <w:szCs w:val="20"/>
                <w:color w:val="auto"/>
              </w:rPr>
            </w:pPr>
            <w:r>
              <w:rPr>
                <w:rFonts w:ascii="Arial" w:cs="Arial" w:eastAsia="Arial" w:hAnsi="Arial"/>
                <w:sz w:val="18"/>
                <w:szCs w:val="18"/>
                <w:b w:val="1"/>
                <w:bCs w:val="1"/>
                <w:color w:val="00A1DF"/>
                <w:w w:val="98"/>
              </w:rPr>
              <w:t>Outstanding</w:t>
            </w:r>
          </w:p>
        </w:tc>
        <w:tc>
          <w:tcPr>
            <w:tcW w:w="0" w:type="dxa"/>
            <w:vAlign w:val="bottom"/>
          </w:tcPr>
          <w:p>
            <w:pPr>
              <w:spacing w:after="0"/>
              <w:rPr>
                <w:sz w:val="1"/>
                <w:szCs w:val="1"/>
                <w:color w:val="auto"/>
              </w:rPr>
            </w:pPr>
          </w:p>
        </w:tc>
      </w:tr>
      <w:tr>
        <w:trPr>
          <w:trHeight w:val="249"/>
        </w:trPr>
        <w:tc>
          <w:tcPr>
            <w:tcW w:w="6160" w:type="dxa"/>
            <w:vAlign w:val="bottom"/>
            <w:gridSpan w:val="5"/>
          </w:tcPr>
          <w:p>
            <w:pPr>
              <w:spacing w:after="0"/>
              <w:rPr>
                <w:sz w:val="20"/>
                <w:szCs w:val="20"/>
                <w:color w:val="auto"/>
              </w:rPr>
            </w:pPr>
            <w:r>
              <w:rPr>
                <w:rFonts w:ascii="Arial" w:cs="Arial" w:eastAsia="Arial" w:hAnsi="Arial"/>
                <w:sz w:val="18"/>
                <w:szCs w:val="18"/>
                <w:b w:val="1"/>
                <w:bCs w:val="1"/>
                <w:color w:val="00A1DF"/>
              </w:rPr>
              <w:t>Name</w:t>
            </w:r>
          </w:p>
        </w:tc>
        <w:tc>
          <w:tcPr>
            <w:tcW w:w="3040" w:type="dxa"/>
            <w:vAlign w:val="bottom"/>
          </w:tcPr>
          <w:p>
            <w:pPr>
              <w:jc w:val="right"/>
              <w:ind w:right="591"/>
              <w:spacing w:after="0"/>
              <w:rPr>
                <w:sz w:val="20"/>
                <w:szCs w:val="20"/>
                <w:color w:val="auto"/>
              </w:rPr>
            </w:pPr>
            <w:r>
              <w:rPr>
                <w:rFonts w:ascii="Arial" w:cs="Arial" w:eastAsia="Arial" w:hAnsi="Arial"/>
                <w:sz w:val="18"/>
                <w:szCs w:val="18"/>
                <w:b w:val="1"/>
                <w:bCs w:val="1"/>
                <w:color w:val="00A1DF"/>
              </w:rPr>
              <w:t>Owned</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00A1DF"/>
              </w:rPr>
              <w:t>Shares</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A1DF"/>
            </w:tcBorders>
          </w:tcPr>
          <w:p>
            <w:pPr>
              <w:spacing w:after="0"/>
              <w:rPr>
                <w:sz w:val="5"/>
                <w:szCs w:val="5"/>
                <w:color w:val="auto"/>
              </w:rPr>
            </w:pPr>
          </w:p>
        </w:tc>
        <w:tc>
          <w:tcPr>
            <w:tcW w:w="2080" w:type="dxa"/>
            <w:vAlign w:val="bottom"/>
            <w:tcBorders>
              <w:bottom w:val="single" w:sz="8" w:color="00A1DF"/>
            </w:tcBorders>
          </w:tcPr>
          <w:p>
            <w:pPr>
              <w:spacing w:after="0"/>
              <w:rPr>
                <w:sz w:val="5"/>
                <w:szCs w:val="5"/>
                <w:color w:val="auto"/>
              </w:rPr>
            </w:pPr>
          </w:p>
        </w:tc>
        <w:tc>
          <w:tcPr>
            <w:tcW w:w="120" w:type="dxa"/>
            <w:vAlign w:val="bottom"/>
            <w:tcBorders>
              <w:bottom w:val="single" w:sz="8" w:color="00A1DF"/>
            </w:tcBorders>
          </w:tcPr>
          <w:p>
            <w:pPr>
              <w:spacing w:after="0"/>
              <w:rPr>
                <w:sz w:val="5"/>
                <w:szCs w:val="5"/>
                <w:color w:val="auto"/>
              </w:rPr>
            </w:pPr>
          </w:p>
        </w:tc>
        <w:tc>
          <w:tcPr>
            <w:tcW w:w="540" w:type="dxa"/>
            <w:vAlign w:val="bottom"/>
            <w:tcBorders>
              <w:bottom w:val="single" w:sz="8" w:color="00A1DF"/>
            </w:tcBorders>
          </w:tcPr>
          <w:p>
            <w:pPr>
              <w:spacing w:after="0"/>
              <w:rPr>
                <w:sz w:val="5"/>
                <w:szCs w:val="5"/>
                <w:color w:val="auto"/>
              </w:rPr>
            </w:pPr>
          </w:p>
        </w:tc>
        <w:tc>
          <w:tcPr>
            <w:tcW w:w="3320" w:type="dxa"/>
            <w:vAlign w:val="bottom"/>
            <w:tcBorders>
              <w:bottom w:val="single" w:sz="8" w:color="00A1DF"/>
            </w:tcBorders>
          </w:tcPr>
          <w:p>
            <w:pPr>
              <w:spacing w:after="0"/>
              <w:rPr>
                <w:sz w:val="5"/>
                <w:szCs w:val="5"/>
                <w:color w:val="auto"/>
              </w:rPr>
            </w:pPr>
          </w:p>
        </w:tc>
        <w:tc>
          <w:tcPr>
            <w:tcW w:w="3040" w:type="dxa"/>
            <w:vAlign w:val="bottom"/>
            <w:tcBorders>
              <w:bottom w:val="single" w:sz="8" w:color="00A1DF"/>
            </w:tcBorders>
          </w:tcPr>
          <w:p>
            <w:pPr>
              <w:spacing w:after="0"/>
              <w:rPr>
                <w:sz w:val="5"/>
                <w:szCs w:val="5"/>
                <w:color w:val="auto"/>
              </w:rPr>
            </w:pPr>
          </w:p>
        </w:tc>
        <w:tc>
          <w:tcPr>
            <w:tcW w:w="172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60" w:type="dxa"/>
            <w:vAlign w:val="bottom"/>
            <w:gridSpan w:val="5"/>
            <w:shd w:val="clear" w:color="auto" w:fill="EAF7FC"/>
          </w:tcPr>
          <w:p>
            <w:pPr>
              <w:ind w:left="100"/>
              <w:spacing w:after="0"/>
              <w:rPr>
                <w:sz w:val="20"/>
                <w:szCs w:val="20"/>
                <w:color w:val="auto"/>
              </w:rPr>
            </w:pPr>
            <w:r>
              <w:rPr>
                <w:rFonts w:ascii="Arial" w:cs="Arial" w:eastAsia="Arial" w:hAnsi="Arial"/>
                <w:sz w:val="18"/>
                <w:szCs w:val="18"/>
                <w:b w:val="1"/>
                <w:bCs w:val="1"/>
                <w:color w:val="auto"/>
              </w:rPr>
              <w:t xml:space="preserve">Non-Employee Directors </w:t>
            </w:r>
            <w:r>
              <w:rPr>
                <w:rFonts w:ascii="Arial" w:cs="Arial" w:eastAsia="Arial" w:hAnsi="Arial"/>
                <w:sz w:val="15"/>
                <w:szCs w:val="15"/>
                <w:b w:val="1"/>
                <w:bCs w:val="1"/>
                <w:color w:val="auto"/>
              </w:rPr>
              <w:t>(1)</w:t>
            </w:r>
          </w:p>
        </w:tc>
        <w:tc>
          <w:tcPr>
            <w:tcW w:w="3040" w:type="dxa"/>
            <w:vAlign w:val="bottom"/>
            <w:shd w:val="clear" w:color="auto" w:fill="EAF7FC"/>
          </w:tcPr>
          <w:p>
            <w:pPr>
              <w:spacing w:after="0"/>
              <w:rPr>
                <w:sz w:val="20"/>
                <w:szCs w:val="20"/>
                <w:color w:val="auto"/>
              </w:rPr>
            </w:pPr>
          </w:p>
        </w:tc>
        <w:tc>
          <w:tcPr>
            <w:tcW w:w="1720" w:type="dxa"/>
            <w:vAlign w:val="bottom"/>
            <w:shd w:val="clear" w:color="auto" w:fill="EAF7FC"/>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00" w:type="dxa"/>
            <w:vAlign w:val="bottom"/>
            <w:tcBorders>
              <w:top w:val="single" w:sz="8" w:color="EAF7FC"/>
              <w:bottom w:val="single" w:sz="8" w:color="auto"/>
            </w:tcBorders>
            <w:shd w:val="clear" w:color="auto" w:fill="EAF7FC"/>
          </w:tcPr>
          <w:p>
            <w:pPr>
              <w:spacing w:after="0"/>
              <w:rPr>
                <w:sz w:val="7"/>
                <w:szCs w:val="7"/>
                <w:color w:val="auto"/>
              </w:rPr>
            </w:pPr>
          </w:p>
        </w:tc>
        <w:tc>
          <w:tcPr>
            <w:tcW w:w="2080" w:type="dxa"/>
            <w:vAlign w:val="bottom"/>
            <w:tcBorders>
              <w:top w:val="single" w:sz="8" w:color="auto"/>
              <w:bottom w:val="single" w:sz="8" w:color="auto"/>
            </w:tcBorders>
            <w:shd w:val="clear" w:color="auto" w:fill="EAF7FC"/>
          </w:tcPr>
          <w:p>
            <w:pPr>
              <w:spacing w:after="0"/>
              <w:rPr>
                <w:sz w:val="7"/>
                <w:szCs w:val="7"/>
                <w:color w:val="auto"/>
              </w:rPr>
            </w:pPr>
          </w:p>
        </w:tc>
        <w:tc>
          <w:tcPr>
            <w:tcW w:w="120" w:type="dxa"/>
            <w:vAlign w:val="bottom"/>
            <w:tcBorders>
              <w:top w:val="single" w:sz="8" w:color="EAF7FC"/>
              <w:bottom w:val="single" w:sz="8" w:color="auto"/>
            </w:tcBorders>
            <w:shd w:val="clear" w:color="auto" w:fill="EAF7FC"/>
          </w:tcPr>
          <w:p>
            <w:pPr>
              <w:spacing w:after="0"/>
              <w:rPr>
                <w:sz w:val="7"/>
                <w:szCs w:val="7"/>
                <w:color w:val="auto"/>
              </w:rPr>
            </w:pPr>
          </w:p>
        </w:tc>
        <w:tc>
          <w:tcPr>
            <w:tcW w:w="540" w:type="dxa"/>
            <w:vAlign w:val="bottom"/>
            <w:tcBorders>
              <w:top w:val="single" w:sz="8" w:color="EAF7FC"/>
              <w:bottom w:val="single" w:sz="8" w:color="auto"/>
            </w:tcBorders>
            <w:shd w:val="clear" w:color="auto" w:fill="EAF7FC"/>
          </w:tcPr>
          <w:p>
            <w:pPr>
              <w:spacing w:after="0"/>
              <w:rPr>
                <w:sz w:val="7"/>
                <w:szCs w:val="7"/>
                <w:color w:val="auto"/>
              </w:rPr>
            </w:pPr>
          </w:p>
        </w:tc>
        <w:tc>
          <w:tcPr>
            <w:tcW w:w="3320" w:type="dxa"/>
            <w:vAlign w:val="bottom"/>
            <w:tcBorders>
              <w:top w:val="single" w:sz="8" w:color="EAF7FC"/>
              <w:bottom w:val="single" w:sz="8" w:color="auto"/>
            </w:tcBorders>
            <w:shd w:val="clear" w:color="auto" w:fill="EAF7FC"/>
          </w:tcPr>
          <w:p>
            <w:pPr>
              <w:spacing w:after="0"/>
              <w:rPr>
                <w:sz w:val="7"/>
                <w:szCs w:val="7"/>
                <w:color w:val="auto"/>
              </w:rPr>
            </w:pPr>
          </w:p>
        </w:tc>
        <w:tc>
          <w:tcPr>
            <w:tcW w:w="3040" w:type="dxa"/>
            <w:vAlign w:val="bottom"/>
            <w:tcBorders>
              <w:top w:val="single" w:sz="8" w:color="EAF7FC"/>
              <w:bottom w:val="single" w:sz="8" w:color="auto"/>
            </w:tcBorders>
            <w:shd w:val="clear" w:color="auto" w:fill="EAF7FC"/>
          </w:tcPr>
          <w:p>
            <w:pPr>
              <w:spacing w:after="0"/>
              <w:rPr>
                <w:sz w:val="7"/>
                <w:szCs w:val="7"/>
                <w:color w:val="auto"/>
              </w:rPr>
            </w:pPr>
          </w:p>
        </w:tc>
        <w:tc>
          <w:tcPr>
            <w:tcW w:w="1720" w:type="dxa"/>
            <w:vAlign w:val="bottom"/>
            <w:tcBorders>
              <w:top w:val="single" w:sz="8" w:color="EAF7FC"/>
              <w:bottom w:val="single" w:sz="8" w:color="auto"/>
            </w:tcBorders>
            <w:shd w:val="clear" w:color="auto" w:fill="EAF7FC"/>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Wesley G. Bush</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Linda R. Gooden</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1,000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Joseph Jimenez</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32,330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Jane L. Mendillo</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4,560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Judith A. Miscik</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Patricia F. Russo</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12,300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Thomas M. Schoewe</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22,005</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Theodore M. Solso</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6,561</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Carol M. Stephenson</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800</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Devin N. Wenig</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60" w:type="dxa"/>
            <w:vAlign w:val="bottom"/>
            <w:gridSpan w:val="5"/>
            <w:shd w:val="clear" w:color="auto" w:fill="EAF7FC"/>
          </w:tcPr>
          <w:p>
            <w:pPr>
              <w:ind w:left="100"/>
              <w:spacing w:after="0"/>
              <w:rPr>
                <w:sz w:val="20"/>
                <w:szCs w:val="20"/>
                <w:color w:val="auto"/>
              </w:rPr>
            </w:pPr>
            <w:r>
              <w:rPr>
                <w:rFonts w:ascii="Arial" w:cs="Arial" w:eastAsia="Arial" w:hAnsi="Arial"/>
                <w:sz w:val="18"/>
                <w:szCs w:val="18"/>
                <w:b w:val="1"/>
                <w:bCs w:val="1"/>
                <w:color w:val="auto"/>
              </w:rPr>
              <w:t xml:space="preserve">Named Executive Officers </w:t>
            </w:r>
            <w:r>
              <w:rPr>
                <w:rFonts w:ascii="Arial" w:cs="Arial" w:eastAsia="Arial" w:hAnsi="Arial"/>
                <w:sz w:val="15"/>
                <w:szCs w:val="15"/>
                <w:b w:val="1"/>
                <w:bCs w:val="1"/>
                <w:color w:val="auto"/>
              </w:rPr>
              <w:t>(1)</w:t>
            </w:r>
          </w:p>
        </w:tc>
        <w:tc>
          <w:tcPr>
            <w:tcW w:w="3040" w:type="dxa"/>
            <w:vAlign w:val="bottom"/>
            <w:shd w:val="clear" w:color="auto" w:fill="EAF7FC"/>
          </w:tcPr>
          <w:p>
            <w:pPr>
              <w:spacing w:after="0"/>
              <w:rPr>
                <w:sz w:val="20"/>
                <w:szCs w:val="20"/>
                <w:color w:val="auto"/>
              </w:rPr>
            </w:pPr>
          </w:p>
        </w:tc>
        <w:tc>
          <w:tcPr>
            <w:tcW w:w="1720" w:type="dxa"/>
            <w:vAlign w:val="bottom"/>
            <w:shd w:val="clear" w:color="auto" w:fill="EAF7FC"/>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00" w:type="dxa"/>
            <w:vAlign w:val="bottom"/>
            <w:tcBorders>
              <w:top w:val="single" w:sz="8" w:color="EAF7FC"/>
              <w:bottom w:val="single" w:sz="8" w:color="auto"/>
            </w:tcBorders>
            <w:shd w:val="clear" w:color="auto" w:fill="EAF7FC"/>
          </w:tcPr>
          <w:p>
            <w:pPr>
              <w:spacing w:after="0"/>
              <w:rPr>
                <w:sz w:val="7"/>
                <w:szCs w:val="7"/>
                <w:color w:val="auto"/>
              </w:rPr>
            </w:pPr>
          </w:p>
        </w:tc>
        <w:tc>
          <w:tcPr>
            <w:tcW w:w="2080" w:type="dxa"/>
            <w:vAlign w:val="bottom"/>
            <w:tcBorders>
              <w:top w:val="single" w:sz="8" w:color="auto"/>
              <w:bottom w:val="single" w:sz="8" w:color="auto"/>
            </w:tcBorders>
            <w:shd w:val="clear" w:color="auto" w:fill="EAF7FC"/>
          </w:tcPr>
          <w:p>
            <w:pPr>
              <w:spacing w:after="0"/>
              <w:rPr>
                <w:sz w:val="7"/>
                <w:szCs w:val="7"/>
                <w:color w:val="auto"/>
              </w:rPr>
            </w:pPr>
          </w:p>
        </w:tc>
        <w:tc>
          <w:tcPr>
            <w:tcW w:w="120" w:type="dxa"/>
            <w:vAlign w:val="bottom"/>
            <w:tcBorders>
              <w:top w:val="single" w:sz="8" w:color="auto"/>
              <w:bottom w:val="single" w:sz="8" w:color="auto"/>
            </w:tcBorders>
            <w:shd w:val="clear" w:color="auto" w:fill="EAF7FC"/>
          </w:tcPr>
          <w:p>
            <w:pPr>
              <w:spacing w:after="0"/>
              <w:rPr>
                <w:sz w:val="7"/>
                <w:szCs w:val="7"/>
                <w:color w:val="auto"/>
              </w:rPr>
            </w:pPr>
          </w:p>
        </w:tc>
        <w:tc>
          <w:tcPr>
            <w:tcW w:w="540" w:type="dxa"/>
            <w:vAlign w:val="bottom"/>
            <w:tcBorders>
              <w:top w:val="single" w:sz="8" w:color="EAF7FC"/>
              <w:bottom w:val="single" w:sz="8" w:color="auto"/>
            </w:tcBorders>
            <w:shd w:val="clear" w:color="auto" w:fill="EAF7FC"/>
          </w:tcPr>
          <w:p>
            <w:pPr>
              <w:spacing w:after="0"/>
              <w:rPr>
                <w:sz w:val="7"/>
                <w:szCs w:val="7"/>
                <w:color w:val="auto"/>
              </w:rPr>
            </w:pPr>
          </w:p>
        </w:tc>
        <w:tc>
          <w:tcPr>
            <w:tcW w:w="3320" w:type="dxa"/>
            <w:vAlign w:val="bottom"/>
            <w:tcBorders>
              <w:top w:val="single" w:sz="8" w:color="EAF7FC"/>
              <w:bottom w:val="single" w:sz="8" w:color="auto"/>
            </w:tcBorders>
            <w:shd w:val="clear" w:color="auto" w:fill="EAF7FC"/>
          </w:tcPr>
          <w:p>
            <w:pPr>
              <w:spacing w:after="0"/>
              <w:rPr>
                <w:sz w:val="7"/>
                <w:szCs w:val="7"/>
                <w:color w:val="auto"/>
              </w:rPr>
            </w:pPr>
          </w:p>
        </w:tc>
        <w:tc>
          <w:tcPr>
            <w:tcW w:w="3040" w:type="dxa"/>
            <w:vAlign w:val="bottom"/>
            <w:tcBorders>
              <w:top w:val="single" w:sz="8" w:color="EAF7FC"/>
              <w:bottom w:val="single" w:sz="8" w:color="auto"/>
            </w:tcBorders>
            <w:shd w:val="clear" w:color="auto" w:fill="EAF7FC"/>
          </w:tcPr>
          <w:p>
            <w:pPr>
              <w:spacing w:after="0"/>
              <w:rPr>
                <w:sz w:val="7"/>
                <w:szCs w:val="7"/>
                <w:color w:val="auto"/>
              </w:rPr>
            </w:pPr>
          </w:p>
        </w:tc>
        <w:tc>
          <w:tcPr>
            <w:tcW w:w="1720" w:type="dxa"/>
            <w:vAlign w:val="bottom"/>
            <w:tcBorders>
              <w:top w:val="single" w:sz="8" w:color="EAF7FC"/>
              <w:bottom w:val="single" w:sz="8" w:color="auto"/>
            </w:tcBorders>
            <w:shd w:val="clear" w:color="auto" w:fill="EAF7FC"/>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Mary T. Barra</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4,996,409</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Dhivya Suryadevara</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305,733</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Mark L. Reuss</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792,865</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Alan S. Batey </w:t>
            </w:r>
            <w:r>
              <w:rPr>
                <w:rFonts w:ascii="Arial" w:cs="Arial" w:eastAsia="Arial" w:hAnsi="Arial"/>
                <w:sz w:val="15"/>
                <w:szCs w:val="15"/>
                <w:color w:val="auto"/>
              </w:rPr>
              <w:t>(4)</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556,701</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Barry L. Engle II</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432,218</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Craig B. Glidden</w:t>
            </w:r>
          </w:p>
        </w:tc>
        <w:tc>
          <w:tcPr>
            <w:tcW w:w="3040" w:type="dxa"/>
            <w:vAlign w:val="bottom"/>
          </w:tcPr>
          <w:p>
            <w:pPr>
              <w:jc w:val="right"/>
              <w:ind w:right="391"/>
              <w:spacing w:after="0"/>
              <w:rPr>
                <w:sz w:val="20"/>
                <w:szCs w:val="20"/>
                <w:color w:val="auto"/>
              </w:rPr>
            </w:pPr>
            <w:r>
              <w:rPr>
                <w:rFonts w:ascii="Arial" w:cs="Arial" w:eastAsia="Arial" w:hAnsi="Arial"/>
                <w:sz w:val="18"/>
                <w:szCs w:val="18"/>
                <w:color w:val="auto"/>
              </w:rPr>
              <w:t>634,134</w:t>
            </w:r>
            <w:r>
              <w:rPr>
                <w:rFonts w:ascii="Arial" w:cs="Arial" w:eastAsia="Arial" w:hAnsi="Arial"/>
                <w:sz w:val="15"/>
                <w:szCs w:val="15"/>
                <w:color w:val="auto"/>
              </w:rPr>
              <w:t>(3)</w:t>
            </w: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All Directors and Executive Officers as a Group (21 persons, including the</w:t>
            </w:r>
          </w:p>
        </w:tc>
        <w:tc>
          <w:tcPr>
            <w:tcW w:w="3040" w:type="dxa"/>
            <w:vAlign w:val="bottom"/>
            <w:vMerge w:val="restart"/>
          </w:tcPr>
          <w:p>
            <w:pPr>
              <w:jc w:val="right"/>
              <w:ind w:right="391"/>
              <w:spacing w:after="0"/>
              <w:rPr>
                <w:sz w:val="20"/>
                <w:szCs w:val="20"/>
                <w:color w:val="auto"/>
              </w:rPr>
            </w:pPr>
            <w:r>
              <w:rPr>
                <w:rFonts w:ascii="Arial" w:cs="Arial" w:eastAsia="Arial" w:hAnsi="Arial"/>
                <w:sz w:val="18"/>
                <w:szCs w:val="18"/>
                <w:color w:val="auto"/>
              </w:rPr>
              <w:t>9,303,394</w:t>
            </w:r>
            <w:r>
              <w:rPr>
                <w:rFonts w:ascii="Arial" w:cs="Arial" w:eastAsia="Arial" w:hAnsi="Arial"/>
                <w:sz w:val="15"/>
                <w:szCs w:val="15"/>
                <w:color w:val="auto"/>
              </w:rPr>
              <w:t>(3)</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foregoing)</w:t>
            </w:r>
          </w:p>
        </w:tc>
        <w:tc>
          <w:tcPr>
            <w:tcW w:w="3040" w:type="dxa"/>
            <w:vAlign w:val="bottom"/>
            <w:vMerge w:val="continue"/>
          </w:tcPr>
          <w:p>
            <w:pPr>
              <w:spacing w:after="0"/>
              <w:rPr>
                <w:sz w:val="18"/>
                <w:szCs w:val="18"/>
                <w:color w:val="auto"/>
              </w:rPr>
            </w:pPr>
          </w:p>
        </w:tc>
        <w:tc>
          <w:tcPr>
            <w:tcW w:w="1720" w:type="dxa"/>
            <w:vAlign w:val="bottom"/>
          </w:tcPr>
          <w:p>
            <w:pPr>
              <w:jc w:val="center"/>
              <w:ind w:left="4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60" w:type="dxa"/>
            <w:vAlign w:val="bottom"/>
            <w:gridSpan w:val="5"/>
            <w:shd w:val="clear" w:color="auto" w:fill="EAF7FC"/>
          </w:tcPr>
          <w:p>
            <w:pPr>
              <w:ind w:left="100"/>
              <w:spacing w:after="0"/>
              <w:rPr>
                <w:sz w:val="20"/>
                <w:szCs w:val="20"/>
                <w:color w:val="auto"/>
              </w:rPr>
            </w:pPr>
            <w:r>
              <w:rPr>
                <w:rFonts w:ascii="Arial" w:cs="Arial" w:eastAsia="Arial" w:hAnsi="Arial"/>
                <w:sz w:val="18"/>
                <w:szCs w:val="18"/>
                <w:b w:val="1"/>
                <w:bCs w:val="1"/>
                <w:color w:val="auto"/>
              </w:rPr>
              <w:t xml:space="preserve">Certain Other Beneficial Owners </w:t>
            </w:r>
            <w:r>
              <w:rPr>
                <w:rFonts w:ascii="Arial" w:cs="Arial" w:eastAsia="Arial" w:hAnsi="Arial"/>
                <w:sz w:val="15"/>
                <w:szCs w:val="15"/>
                <w:b w:val="1"/>
                <w:bCs w:val="1"/>
                <w:color w:val="auto"/>
              </w:rPr>
              <w:t>(5)</w:t>
            </w:r>
          </w:p>
        </w:tc>
        <w:tc>
          <w:tcPr>
            <w:tcW w:w="3040" w:type="dxa"/>
            <w:vAlign w:val="bottom"/>
            <w:shd w:val="clear" w:color="auto" w:fill="EAF7FC"/>
          </w:tcPr>
          <w:p>
            <w:pPr>
              <w:spacing w:after="0"/>
              <w:rPr>
                <w:sz w:val="20"/>
                <w:szCs w:val="20"/>
                <w:color w:val="auto"/>
              </w:rPr>
            </w:pPr>
          </w:p>
        </w:tc>
        <w:tc>
          <w:tcPr>
            <w:tcW w:w="1720" w:type="dxa"/>
            <w:vAlign w:val="bottom"/>
            <w:shd w:val="clear" w:color="auto" w:fill="EAF7FC"/>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00" w:type="dxa"/>
            <w:vAlign w:val="bottom"/>
            <w:tcBorders>
              <w:top w:val="single" w:sz="8" w:color="EAF7FC"/>
              <w:bottom w:val="single" w:sz="8" w:color="auto"/>
            </w:tcBorders>
            <w:shd w:val="clear" w:color="auto" w:fill="EAF7FC"/>
          </w:tcPr>
          <w:p>
            <w:pPr>
              <w:spacing w:after="0"/>
              <w:rPr>
                <w:sz w:val="7"/>
                <w:szCs w:val="7"/>
                <w:color w:val="auto"/>
              </w:rPr>
            </w:pPr>
          </w:p>
        </w:tc>
        <w:tc>
          <w:tcPr>
            <w:tcW w:w="2080" w:type="dxa"/>
            <w:vAlign w:val="bottom"/>
            <w:tcBorders>
              <w:top w:val="single" w:sz="8" w:color="auto"/>
              <w:bottom w:val="single" w:sz="8" w:color="auto"/>
            </w:tcBorders>
            <w:shd w:val="clear" w:color="auto" w:fill="EAF7FC"/>
          </w:tcPr>
          <w:p>
            <w:pPr>
              <w:spacing w:after="0"/>
              <w:rPr>
                <w:sz w:val="7"/>
                <w:szCs w:val="7"/>
                <w:color w:val="auto"/>
              </w:rPr>
            </w:pPr>
          </w:p>
        </w:tc>
        <w:tc>
          <w:tcPr>
            <w:tcW w:w="120" w:type="dxa"/>
            <w:vAlign w:val="bottom"/>
            <w:tcBorders>
              <w:top w:val="single" w:sz="8" w:color="auto"/>
              <w:bottom w:val="single" w:sz="8" w:color="auto"/>
            </w:tcBorders>
            <w:shd w:val="clear" w:color="auto" w:fill="EAF7FC"/>
          </w:tcPr>
          <w:p>
            <w:pPr>
              <w:spacing w:after="0"/>
              <w:rPr>
                <w:sz w:val="7"/>
                <w:szCs w:val="7"/>
                <w:color w:val="auto"/>
              </w:rPr>
            </w:pPr>
          </w:p>
        </w:tc>
        <w:tc>
          <w:tcPr>
            <w:tcW w:w="540" w:type="dxa"/>
            <w:vAlign w:val="bottom"/>
            <w:tcBorders>
              <w:top w:val="single" w:sz="8" w:color="auto"/>
              <w:bottom w:val="single" w:sz="8" w:color="auto"/>
            </w:tcBorders>
            <w:shd w:val="clear" w:color="auto" w:fill="EAF7FC"/>
          </w:tcPr>
          <w:p>
            <w:pPr>
              <w:spacing w:after="0"/>
              <w:rPr>
                <w:sz w:val="7"/>
                <w:szCs w:val="7"/>
                <w:color w:val="auto"/>
              </w:rPr>
            </w:pPr>
          </w:p>
        </w:tc>
        <w:tc>
          <w:tcPr>
            <w:tcW w:w="3320" w:type="dxa"/>
            <w:vAlign w:val="bottom"/>
            <w:tcBorders>
              <w:top w:val="single" w:sz="8" w:color="EAF7FC"/>
              <w:bottom w:val="single" w:sz="8" w:color="auto"/>
            </w:tcBorders>
            <w:shd w:val="clear" w:color="auto" w:fill="EAF7FC"/>
          </w:tcPr>
          <w:p>
            <w:pPr>
              <w:spacing w:after="0"/>
              <w:rPr>
                <w:sz w:val="7"/>
                <w:szCs w:val="7"/>
                <w:color w:val="auto"/>
              </w:rPr>
            </w:pPr>
          </w:p>
        </w:tc>
        <w:tc>
          <w:tcPr>
            <w:tcW w:w="3040" w:type="dxa"/>
            <w:vAlign w:val="bottom"/>
            <w:tcBorders>
              <w:top w:val="single" w:sz="8" w:color="EAF7FC"/>
              <w:bottom w:val="single" w:sz="8" w:color="auto"/>
            </w:tcBorders>
            <w:shd w:val="clear" w:color="auto" w:fill="EAF7FC"/>
          </w:tcPr>
          <w:p>
            <w:pPr>
              <w:spacing w:after="0"/>
              <w:rPr>
                <w:sz w:val="7"/>
                <w:szCs w:val="7"/>
                <w:color w:val="auto"/>
              </w:rPr>
            </w:pPr>
          </w:p>
        </w:tc>
        <w:tc>
          <w:tcPr>
            <w:tcW w:w="1720" w:type="dxa"/>
            <w:vAlign w:val="bottom"/>
            <w:tcBorders>
              <w:top w:val="single" w:sz="8" w:color="EAF7FC"/>
              <w:bottom w:val="single" w:sz="8" w:color="auto"/>
            </w:tcBorders>
            <w:shd w:val="clear" w:color="auto" w:fill="EAF7FC"/>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(6)</w:t>
            </w:r>
          </w:p>
        </w:tc>
        <w:tc>
          <w:tcPr>
            <w:tcW w:w="3040" w:type="dxa"/>
            <w:vAlign w:val="bottom"/>
          </w:tcPr>
          <w:p>
            <w:pPr>
              <w:jc w:val="right"/>
              <w:ind w:right="591"/>
              <w:spacing w:after="0"/>
              <w:rPr>
                <w:sz w:val="20"/>
                <w:szCs w:val="20"/>
                <w:color w:val="auto"/>
              </w:rPr>
            </w:pPr>
            <w:r>
              <w:rPr>
                <w:rFonts w:ascii="Arial" w:cs="Arial" w:eastAsia="Arial" w:hAnsi="Arial"/>
                <w:sz w:val="18"/>
                <w:szCs w:val="18"/>
                <w:color w:val="auto"/>
              </w:rPr>
              <w:t>102,990,145</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UAW Retiree Medical Benefits Trust </w:t>
            </w:r>
            <w:r>
              <w:rPr>
                <w:rFonts w:ascii="Arial" w:cs="Arial" w:eastAsia="Arial" w:hAnsi="Arial"/>
                <w:sz w:val="15"/>
                <w:szCs w:val="15"/>
                <w:color w:val="auto"/>
              </w:rPr>
              <w:t>(7)</w:t>
            </w:r>
          </w:p>
        </w:tc>
        <w:tc>
          <w:tcPr>
            <w:tcW w:w="3040" w:type="dxa"/>
            <w:vAlign w:val="bottom"/>
          </w:tcPr>
          <w:p>
            <w:pPr>
              <w:jc w:val="right"/>
              <w:ind w:right="591"/>
              <w:spacing w:after="0"/>
              <w:rPr>
                <w:sz w:val="20"/>
                <w:szCs w:val="20"/>
                <w:color w:val="auto"/>
              </w:rPr>
            </w:pPr>
            <w:r>
              <w:rPr>
                <w:rFonts w:ascii="Arial" w:cs="Arial" w:eastAsia="Arial" w:hAnsi="Arial"/>
                <w:sz w:val="18"/>
                <w:szCs w:val="18"/>
                <w:color w:val="auto"/>
              </w:rPr>
              <w:t>100,150,000</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(8)</w:t>
            </w:r>
            <w:r>
              <w:rPr>
                <w:rFonts w:ascii="Arial" w:cs="Arial" w:eastAsia="Arial" w:hAnsi="Arial"/>
                <w:sz w:val="18"/>
                <w:szCs w:val="18"/>
                <w:color w:val="auto"/>
              </w:rPr>
              <w:t>**</w:t>
            </w:r>
          </w:p>
        </w:tc>
        <w:tc>
          <w:tcPr>
            <w:tcW w:w="3040" w:type="dxa"/>
            <w:vAlign w:val="bottom"/>
          </w:tcPr>
          <w:p>
            <w:pPr>
              <w:jc w:val="right"/>
              <w:ind w:right="591"/>
              <w:spacing w:after="0"/>
              <w:rPr>
                <w:sz w:val="20"/>
                <w:szCs w:val="20"/>
                <w:color w:val="auto"/>
              </w:rPr>
            </w:pPr>
            <w:r>
              <w:rPr>
                <w:rFonts w:ascii="Arial" w:cs="Arial" w:eastAsia="Arial" w:hAnsi="Arial"/>
                <w:sz w:val="18"/>
                <w:szCs w:val="18"/>
                <w:color w:val="auto"/>
              </w:rPr>
              <w:t>99,328,603</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Capital World Investors </w:t>
            </w:r>
            <w:r>
              <w:rPr>
                <w:rFonts w:ascii="Arial" w:cs="Arial" w:eastAsia="Arial" w:hAnsi="Arial"/>
                <w:sz w:val="15"/>
                <w:szCs w:val="15"/>
                <w:color w:val="auto"/>
              </w:rPr>
              <w:t>(9)</w:t>
            </w:r>
            <w:r>
              <w:rPr>
                <w:rFonts w:ascii="Arial" w:cs="Arial" w:eastAsia="Arial" w:hAnsi="Arial"/>
                <w:sz w:val="18"/>
                <w:szCs w:val="18"/>
                <w:color w:val="auto"/>
              </w:rPr>
              <w:t>**</w:t>
            </w:r>
          </w:p>
        </w:tc>
        <w:tc>
          <w:tcPr>
            <w:tcW w:w="3040" w:type="dxa"/>
            <w:vAlign w:val="bottom"/>
          </w:tcPr>
          <w:p>
            <w:pPr>
              <w:jc w:val="right"/>
              <w:ind w:right="591"/>
              <w:spacing w:after="0"/>
              <w:rPr>
                <w:sz w:val="20"/>
                <w:szCs w:val="20"/>
                <w:color w:val="auto"/>
              </w:rPr>
            </w:pPr>
            <w:r>
              <w:rPr>
                <w:rFonts w:ascii="Arial" w:cs="Arial" w:eastAsia="Arial" w:hAnsi="Arial"/>
                <w:sz w:val="18"/>
                <w:szCs w:val="18"/>
                <w:color w:val="auto"/>
              </w:rPr>
              <w:t>94,227,194</w:t>
            </w:r>
          </w:p>
        </w:tc>
        <w:tc>
          <w:tcPr>
            <w:tcW w:w="1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160" w:type="dxa"/>
            <w:vAlign w:val="bottom"/>
            <w:gridSpan w:val="5"/>
          </w:tcPr>
          <w:p>
            <w:pPr>
              <w:ind w:left="100"/>
              <w:spacing w:after="0"/>
              <w:rPr>
                <w:sz w:val="20"/>
                <w:szCs w:val="20"/>
                <w:color w:val="auto"/>
              </w:rPr>
            </w:pPr>
            <w:r>
              <w:rPr>
                <w:rFonts w:ascii="Arial" w:cs="Arial" w:eastAsia="Arial" w:hAnsi="Arial"/>
                <w:sz w:val="18"/>
                <w:szCs w:val="18"/>
                <w:color w:val="auto"/>
              </w:rPr>
              <w:t xml:space="preserve">Berkshire Hathaway Inc. </w:t>
            </w:r>
            <w:r>
              <w:rPr>
                <w:rFonts w:ascii="Arial" w:cs="Arial" w:eastAsia="Arial" w:hAnsi="Arial"/>
                <w:sz w:val="15"/>
                <w:szCs w:val="15"/>
                <w:color w:val="auto"/>
              </w:rPr>
              <w:t>(10)</w:t>
            </w:r>
          </w:p>
        </w:tc>
        <w:tc>
          <w:tcPr>
            <w:tcW w:w="3040" w:type="dxa"/>
            <w:vAlign w:val="bottom"/>
          </w:tcPr>
          <w:p>
            <w:pPr>
              <w:jc w:val="right"/>
              <w:ind w:right="591"/>
              <w:spacing w:after="0"/>
              <w:rPr>
                <w:sz w:val="20"/>
                <w:szCs w:val="20"/>
                <w:color w:val="auto"/>
              </w:rPr>
            </w:pPr>
            <w:r>
              <w:rPr>
                <w:rFonts w:ascii="Arial" w:cs="Arial" w:eastAsia="Arial" w:hAnsi="Arial"/>
                <w:sz w:val="18"/>
                <w:szCs w:val="18"/>
                <w:color w:val="auto"/>
              </w:rPr>
              <w:t>75,000,000</w:t>
            </w:r>
          </w:p>
        </w:tc>
        <w:tc>
          <w:tcPr>
            <w:tcW w:w="17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ind w:left="600" w:hanging="433"/>
        <w:spacing w:after="0"/>
        <w:tabs>
          <w:tab w:leader="none" w:pos="60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Less than 1%.</w:t>
      </w:r>
    </w:p>
    <w:p>
      <w:pPr>
        <w:spacing w:after="0" w:line="74" w:lineRule="exact"/>
        <w:rPr>
          <w:sz w:val="20"/>
          <w:szCs w:val="20"/>
          <w:color w:val="auto"/>
        </w:rPr>
      </w:pPr>
    </w:p>
    <w:p>
      <w:pPr>
        <w:ind w:left="600" w:right="40" w:hanging="433"/>
        <w:spacing w:after="0" w:line="260" w:lineRule="auto"/>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 Vanguard Group and BlackRock, Inc., provide investment management services to Company-sponsored pension plans. The total amount of the fees will fluctuate based on allocation decisions made by the applicable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793865" cy="101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33</w:t>
      </w:r>
    </w:p>
    <w:p>
      <w:pPr>
        <w:sectPr>
          <w:pgSz w:w="11900" w:h="16838" w:orient="portrait"/>
          <w:cols w:equalWidth="0" w:num="1">
            <w:col w:w="11100"/>
          </w:cols>
          <w:pgMar w:left="320" w:top="456" w:right="479" w:bottom="1137"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SECURITY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ind w:left="600" w:hanging="433"/>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c/o General Motors Company, 300 Renaissance Center, Detroit, Michigan 48265.</w:t>
      </w:r>
    </w:p>
    <w:p>
      <w:pPr>
        <w:spacing w:after="0" w:line="73" w:lineRule="exact"/>
        <w:rPr>
          <w:rFonts w:ascii="Arial" w:cs="Arial" w:eastAsia="Arial" w:hAnsi="Arial"/>
          <w:sz w:val="18"/>
          <w:szCs w:val="18"/>
          <w:i w:val="1"/>
          <w:iCs w:val="1"/>
          <w:color w:val="auto"/>
        </w:rPr>
      </w:pPr>
    </w:p>
    <w:p>
      <w:pPr>
        <w:jc w:val="both"/>
        <w:ind w:left="600" w:hanging="433"/>
        <w:spacing w:after="0" w:line="239"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represent common stock only and do not include DSUs, which are unit equivalents of our common stock, under the Director Compensation Plan described on page 11 of this Proxy Statement. Directors hold the following number of DSUs: 7,131 DSUs for Mr. Bush; 21,510 DSUs for Ms. Gooden; 39,319 DSUs for Mr. Jimenez; 29,529 DSUs for Ms. Mendillo; 4,980 DSUs for Ms. Miscik; 42,851 DSUs for Ms. Russo; 35,147 DSUs for Mr. Schoewe; 87,951 DSUs for Mr. Solso; 67,898 DSUs for Ms. Stephenson; and 13,961 DSUs for Mr. Wenig.</w:t>
      </w:r>
    </w:p>
    <w:p>
      <w:pPr>
        <w:spacing w:after="0" w:line="52" w:lineRule="exact"/>
        <w:rPr>
          <w:rFonts w:ascii="Arial" w:cs="Arial" w:eastAsia="Arial" w:hAnsi="Arial"/>
          <w:sz w:val="18"/>
          <w:szCs w:val="18"/>
          <w:i w:val="1"/>
          <w:iCs w:val="1"/>
          <w:color w:val="auto"/>
        </w:rPr>
      </w:pPr>
    </w:p>
    <w:p>
      <w:pPr>
        <w:jc w:val="both"/>
        <w:ind w:left="600" w:hanging="433"/>
        <w:spacing w:after="0" w:line="246"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include shares that may be acquired upon exercise of stock options that are currently exercisable or will become exercisable within 60 days of April 1, 2020, as follows: 3,688,080 shares for Ms. Barra; 279,195 shares for Ms. Suryadevara; 504,113 shares for Mr. Reuss; 408,575 shares for Mr. Batey; 311,510 shares for Mr. Engle; and 442,990 shares for Mr. Glidden.</w:t>
      </w:r>
    </w:p>
    <w:p>
      <w:pPr>
        <w:spacing w:after="0" w:line="45" w:lineRule="exact"/>
        <w:rPr>
          <w:rFonts w:ascii="Arial" w:cs="Arial" w:eastAsia="Arial" w:hAnsi="Arial"/>
          <w:sz w:val="18"/>
          <w:szCs w:val="18"/>
          <w:i w:val="1"/>
          <w:iCs w:val="1"/>
          <w:color w:val="auto"/>
        </w:rPr>
      </w:pPr>
    </w:p>
    <w:p>
      <w:pPr>
        <w:ind w:left="600" w:hanging="433"/>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Mr. Batey retired from the Company effective March 1, 2020.</w:t>
      </w:r>
    </w:p>
    <w:p>
      <w:pPr>
        <w:spacing w:after="0" w:line="73" w:lineRule="exact"/>
        <w:rPr>
          <w:rFonts w:ascii="Arial" w:cs="Arial" w:eastAsia="Arial" w:hAnsi="Arial"/>
          <w:sz w:val="18"/>
          <w:szCs w:val="18"/>
          <w:i w:val="1"/>
          <w:iCs w:val="1"/>
          <w:color w:val="auto"/>
        </w:rPr>
      </w:pPr>
    </w:p>
    <w:p>
      <w:pPr>
        <w:jc w:val="both"/>
        <w:ind w:left="600" w:hanging="433"/>
        <w:spacing w:after="0" w:line="290" w:lineRule="auto"/>
        <w:tabs>
          <w:tab w:leader="none" w:pos="60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9" w:lineRule="exact"/>
        <w:rPr>
          <w:rFonts w:ascii="Arial" w:cs="Arial" w:eastAsia="Arial" w:hAnsi="Arial"/>
          <w:sz w:val="17"/>
          <w:szCs w:val="17"/>
          <w:i w:val="1"/>
          <w:iCs w:val="1"/>
          <w:color w:val="auto"/>
        </w:rPr>
      </w:pPr>
    </w:p>
    <w:p>
      <w:pPr>
        <w:jc w:val="both"/>
        <w:ind w:left="600" w:hanging="433"/>
        <w:spacing w:after="0" w:line="257" w:lineRule="auto"/>
        <w:tabs>
          <w:tab w:leader="none" w:pos="60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Based solely on information set forth in a Schedule 13G/A filed with the SEC on February 12, 2020, The Vanguard Group reported that it and its subsidiaries listed on Appendix A of Schedule 13G/A were the beneficial owners of 102,990,145 shares of GM’s outstanding common stock as of December 31, 2019. As of December 31, 2019, The Vanguard Group had the sole power to vote 1,881,783 shares; the sole power to dispose of 100,923,202 shares; the shared power to vote 356,496 shares; and the shared power to dispose of 2,066,943 shares. The address for The Vanguard Group is 100 Vanguard Boulevard, Malvern, Pennsylvania 19355.</w:t>
      </w:r>
    </w:p>
    <w:p>
      <w:pPr>
        <w:spacing w:after="0" w:line="36" w:lineRule="exact"/>
        <w:rPr>
          <w:rFonts w:ascii="Arial" w:cs="Arial" w:eastAsia="Arial" w:hAnsi="Arial"/>
          <w:sz w:val="17"/>
          <w:szCs w:val="17"/>
          <w:i w:val="1"/>
          <w:iCs w:val="1"/>
          <w:color w:val="auto"/>
        </w:rPr>
      </w:pPr>
    </w:p>
    <w:p>
      <w:pPr>
        <w:jc w:val="both"/>
        <w:ind w:left="600" w:hanging="433"/>
        <w:spacing w:after="0" w:line="238"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information set forth in a Schedule 13G/A filed with the SEC on August 22, 2019, the UAW Retiree Medical Benefits Trust, as advised by its fiduciary and investment advisor Brock Fiduciary Services LLC, and a Schedule 13G/A filed with the SEC on August 22, 2019, by Brock Capital Group LLC and Brock Fiduciary Services LLC, as of December 31, 2018, the UAW Retiree Medical Benefits Trust had shared voting and dispositive power of 100,150,000 shares of GM’s outstanding common stock. No sole voting and dispositive powers were reported. The address for the UAW Retiree Medical Benefits Trust is 200 Walker Street, Detroit, Michigan 48207.</w:t>
      </w:r>
    </w:p>
    <w:p>
      <w:pPr>
        <w:spacing w:after="0" w:line="52" w:lineRule="exact"/>
        <w:rPr>
          <w:rFonts w:ascii="Arial" w:cs="Arial" w:eastAsia="Arial" w:hAnsi="Arial"/>
          <w:sz w:val="18"/>
          <w:szCs w:val="18"/>
          <w:i w:val="1"/>
          <w:iCs w:val="1"/>
          <w:color w:val="auto"/>
        </w:rPr>
      </w:pPr>
    </w:p>
    <w:p>
      <w:pPr>
        <w:jc w:val="both"/>
        <w:ind w:left="600"/>
        <w:spacing w:after="0" w:line="239" w:lineRule="auto"/>
        <w:rPr>
          <w:rFonts w:ascii="Arial" w:cs="Arial" w:eastAsia="Arial" w:hAnsi="Arial"/>
          <w:sz w:val="18"/>
          <w:szCs w:val="18"/>
          <w:i w:val="1"/>
          <w:iCs w:val="1"/>
          <w:color w:val="auto"/>
        </w:rPr>
      </w:pPr>
      <w:r>
        <w:rPr>
          <w:rFonts w:ascii="Arial" w:cs="Arial" w:eastAsia="Arial" w:hAnsi="Arial"/>
          <w:sz w:val="18"/>
          <w:szCs w:val="18"/>
          <w:i w:val="1"/>
          <w:iCs w:val="1"/>
          <w:color w:val="auto"/>
        </w:rPr>
        <w:t>Pursuant to the Stockholders Agreement dated October 15, 2009, between the Company and the UAW Retiree Medical Benefits Trust, the Trust will vote its shares of our common stock on each matter presented to the shareholders at the Annual Meeting in the same proportionate manner as the holders of our common stock other than our directors and executive officers. The Trust will be subject to the terms of the Stockholders Agreement until it beneficially owns less than 2% of the shares of our common stock then issued and outstanding.</w:t>
      </w:r>
    </w:p>
    <w:p>
      <w:pPr>
        <w:spacing w:after="0" w:line="52" w:lineRule="exact"/>
        <w:rPr>
          <w:rFonts w:ascii="Arial" w:cs="Arial" w:eastAsia="Arial" w:hAnsi="Arial"/>
          <w:sz w:val="18"/>
          <w:szCs w:val="18"/>
          <w:i w:val="1"/>
          <w:iCs w:val="1"/>
          <w:color w:val="auto"/>
        </w:rPr>
      </w:pPr>
    </w:p>
    <w:p>
      <w:pPr>
        <w:jc w:val="both"/>
        <w:ind w:left="600" w:hanging="433"/>
        <w:spacing w:after="0" w:line="239"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information set forth in a Schedule 13G/A filed with the SEC on February 5, 2020, Blackrock, Inc., reported that it and its subsidiaries listed on Exhibit A to Schedule 13G/A were the beneficial owners of 99,328,603 shares of GM’s outstanding common stock as of December 31, 2019. BlackRock reported having sole voting power for 87,229,425 shares and sole dispositive power of 99,328,603 shares. No shared voting or dispositive powers were reported. The address for BlackRock, Inc., is 55 East 52nd Street, New York, New York 10055.</w:t>
      </w:r>
    </w:p>
    <w:p>
      <w:pPr>
        <w:spacing w:after="0" w:line="52" w:lineRule="exact"/>
        <w:rPr>
          <w:rFonts w:ascii="Arial" w:cs="Arial" w:eastAsia="Arial" w:hAnsi="Arial"/>
          <w:sz w:val="18"/>
          <w:szCs w:val="18"/>
          <w:i w:val="1"/>
          <w:iCs w:val="1"/>
          <w:color w:val="auto"/>
        </w:rPr>
      </w:pPr>
    </w:p>
    <w:p>
      <w:pPr>
        <w:jc w:val="both"/>
        <w:ind w:left="600" w:hanging="433"/>
        <w:spacing w:after="0" w:line="238"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Based solely on information set forth in a Schedule 13G/A filed with the SEC on February 14, 2020, Capital World Investors reported that it is the beneficial owner of 94,227,194 shares of GM’s outstanding common stock as of December 31, 2019. Capital World Investors reported having sole voting power for 94,222,494 shares and sole dispositive power of 94,227,194 shares. No shared voting or dispositive powers were reported. Capital World Investors divisions of Capital Research and Management Company and Capital International Limited collectively provide investment management services under the name Capital World Investors. The address for Capital World Investors is 333 South Hope Street, Los Angeles, California 90071.</w:t>
      </w:r>
    </w:p>
    <w:p>
      <w:pPr>
        <w:spacing w:after="0" w:line="52" w:lineRule="exact"/>
        <w:rPr>
          <w:rFonts w:ascii="Arial" w:cs="Arial" w:eastAsia="Arial" w:hAnsi="Arial"/>
          <w:sz w:val="18"/>
          <w:szCs w:val="18"/>
          <w:i w:val="1"/>
          <w:iCs w:val="1"/>
          <w:color w:val="auto"/>
        </w:rPr>
      </w:pPr>
    </w:p>
    <w:p>
      <w:pPr>
        <w:jc w:val="both"/>
        <w:ind w:left="600" w:hanging="433"/>
        <w:spacing w:after="0" w:line="260" w:lineRule="auto"/>
        <w:tabs>
          <w:tab w:leader="none" w:pos="60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Based solely on information set forth in a Schedule 13G/A filed with the SEC on February 14, 2020, Warren E. Buffett and Berkshire Hathaway Inc. and its subsidiaries listed on Exhibit A to Schedule 13G/A reported being the beneficial owners of 75,000,000 shares of GM’s outstanding common stock as of December 31, 2019, over which they had shared voting and dispositive power. No sole voting or dispositive power was reported. The address for Berkshire Hathaway Inc. is 3555 Farnam Street, Omaha, Nebraska 68131.</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34 </w:t>
      </w:r>
      <w:r>
        <w:rPr>
          <w:sz w:val="1"/>
          <w:szCs w:val="1"/>
          <w:color w:val="auto"/>
        </w:rPr>
        <w:drawing>
          <wp:inline distT="0" distB="0" distL="0" distR="0">
            <wp:extent cx="6793865" cy="1016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AUDIT COMMITTEE REPORT</w:t>
      </w:r>
    </w:p>
    <w:p>
      <w:pPr>
        <w:spacing w:after="0" w:line="151"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The Audit Committee (the “Committee”) of the Board of Directors of General Motors Company is a standing committee composed of five directors: Thomas M. Schoewe (Chair), Wesley G. Bush, Linda R. Gooden, Jane L. Mendillo, and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177165</wp:posOffset>
            </wp:positionV>
            <wp:extent cx="6420485" cy="7131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20485" cy="71310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Purpose</w:t>
      </w:r>
    </w:p>
    <w:p>
      <w:pPr>
        <w:spacing w:after="0" w:line="203"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Committee’s core purpose is to assist the Board by providing oversight of:</w:t>
      </w:r>
    </w:p>
    <w:p>
      <w:pPr>
        <w:spacing w:after="0" w:line="60" w:lineRule="exact"/>
        <w:rPr>
          <w:sz w:val="20"/>
          <w:szCs w:val="20"/>
          <w:color w:val="auto"/>
        </w:rPr>
      </w:pPr>
    </w:p>
    <w:p>
      <w:pPr>
        <w:ind w:left="640" w:hanging="259"/>
        <w:spacing w:after="0"/>
        <w:tabs>
          <w:tab w:leader="none" w:pos="640" w:val="left"/>
        </w:tabs>
        <w:numPr>
          <w:ilvl w:val="0"/>
          <w:numId w:val="41"/>
        </w:numPr>
        <w:rPr>
          <w:rFonts w:ascii="Arial" w:cs="Arial" w:eastAsia="Arial" w:hAnsi="Arial"/>
          <w:sz w:val="20"/>
          <w:szCs w:val="20"/>
          <w:color w:val="00A1DF"/>
        </w:rPr>
      </w:pPr>
      <w:r>
        <w:rPr>
          <w:rFonts w:ascii="Arial" w:cs="Arial" w:eastAsia="Arial" w:hAnsi="Arial"/>
          <w:sz w:val="20"/>
          <w:szCs w:val="20"/>
          <w:color w:val="auto"/>
        </w:rPr>
        <w:t>The quality and integrity of GM’s financial statements;</w:t>
      </w:r>
    </w:p>
    <w:p>
      <w:pPr>
        <w:spacing w:after="0" w:line="77" w:lineRule="exact"/>
        <w:rPr>
          <w:rFonts w:ascii="Arial" w:cs="Arial" w:eastAsia="Arial" w:hAnsi="Arial"/>
          <w:sz w:val="20"/>
          <w:szCs w:val="20"/>
          <w:color w:val="00A1DF"/>
        </w:rPr>
      </w:pPr>
    </w:p>
    <w:p>
      <w:pPr>
        <w:ind w:left="640" w:right="20" w:hanging="259"/>
        <w:spacing w:after="0" w:line="234" w:lineRule="auto"/>
        <w:tabs>
          <w:tab w:leader="none" w:pos="640" w:val="left"/>
        </w:tabs>
        <w:numPr>
          <w:ilvl w:val="0"/>
          <w:numId w:val="41"/>
        </w:numPr>
        <w:rPr>
          <w:rFonts w:ascii="Arial" w:cs="Arial" w:eastAsia="Arial" w:hAnsi="Arial"/>
          <w:sz w:val="20"/>
          <w:szCs w:val="20"/>
          <w:color w:val="00A1DF"/>
        </w:rPr>
      </w:pPr>
      <w:r>
        <w:rPr>
          <w:rFonts w:ascii="Arial" w:cs="Arial" w:eastAsia="Arial" w:hAnsi="Arial"/>
          <w:sz w:val="20"/>
          <w:szCs w:val="20"/>
          <w:color w:val="auto"/>
        </w:rPr>
        <w:t>GM’s compliance with legal and regulatory requirements; and</w:t>
      </w:r>
    </w:p>
    <w:p>
      <w:pPr>
        <w:spacing w:after="0" w:line="59" w:lineRule="exact"/>
        <w:rPr>
          <w:rFonts w:ascii="Arial" w:cs="Arial" w:eastAsia="Arial" w:hAnsi="Arial"/>
          <w:sz w:val="20"/>
          <w:szCs w:val="20"/>
          <w:color w:val="00A1DF"/>
        </w:rPr>
      </w:pPr>
    </w:p>
    <w:p>
      <w:pPr>
        <w:jc w:val="both"/>
        <w:ind w:left="640" w:hanging="259"/>
        <w:spacing w:after="0" w:line="230" w:lineRule="auto"/>
        <w:tabs>
          <w:tab w:leader="none" w:pos="640" w:val="left"/>
        </w:tabs>
        <w:numPr>
          <w:ilvl w:val="0"/>
          <w:numId w:val="41"/>
        </w:numPr>
        <w:rPr>
          <w:rFonts w:ascii="Arial" w:cs="Arial" w:eastAsia="Arial" w:hAnsi="Arial"/>
          <w:sz w:val="20"/>
          <w:szCs w:val="20"/>
          <w:color w:val="00A1DF"/>
        </w:rPr>
      </w:pPr>
      <w:r>
        <w:rPr>
          <w:rFonts w:ascii="Arial" w:cs="Arial" w:eastAsia="Arial" w:hAnsi="Arial"/>
          <w:sz w:val="20"/>
          <w:szCs w:val="20"/>
          <w:color w:val="auto"/>
        </w:rPr>
        <w:t>The qualifications and independence of GM’s external auditors and the performance of GM’s internal audit staff and external auditors.</w:t>
      </w:r>
    </w:p>
    <w:p>
      <w:pPr>
        <w:spacing w:after="0" w:line="114"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 xml:space="preserve">The Committee operates under a written charter adopted by the Committee and approved by the Board of Directors. The Committee’s charter is posted on our website at </w:t>
      </w:r>
      <w:r>
        <w:rPr>
          <w:rFonts w:ascii="Arial" w:cs="Arial" w:eastAsia="Arial" w:hAnsi="Arial"/>
          <w:sz w:val="20"/>
          <w:szCs w:val="20"/>
          <w:i w:val="1"/>
          <w:iCs w:val="1"/>
          <w:color w:val="00A1DF"/>
        </w:rPr>
        <w:t>investor.gm.com/resources</w:t>
      </w:r>
      <w:r>
        <w:rPr>
          <w:rFonts w:ascii="Arial" w:cs="Arial" w:eastAsia="Arial" w:hAnsi="Arial"/>
          <w:sz w:val="20"/>
          <w:szCs w:val="20"/>
          <w:color w:val="000000"/>
        </w:rPr>
        <w:t>. The Committee’s charter is</w:t>
      </w:r>
      <w:r>
        <w:rPr>
          <w:rFonts w:ascii="Arial" w:cs="Arial" w:eastAsia="Arial" w:hAnsi="Arial"/>
          <w:sz w:val="20"/>
          <w:szCs w:val="20"/>
          <w:i w:val="1"/>
          <w:iCs w:val="1"/>
          <w:color w:val="00A1DF"/>
        </w:rPr>
        <w:t xml:space="preserve"> </w:t>
      </w:r>
      <w:r>
        <w:rPr>
          <w:rFonts w:ascii="Arial" w:cs="Arial" w:eastAsia="Arial" w:hAnsi="Arial"/>
          <w:sz w:val="20"/>
          <w:szCs w:val="20"/>
          <w:color w:val="000000"/>
        </w:rPr>
        <w:t>reviewed at least annually and updated as necessary to address changes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regulatory requirements, authoritative guidance, evolving oversight practices, and shareholder feedback.</w:t>
      </w:r>
    </w:p>
    <w:p>
      <w:pPr>
        <w:spacing w:after="0" w:line="113"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auto"/>
        </w:rPr>
        <w:t>Management is responsible for the Company’s internal controls and the financial reporting process and has delivered its opinion on the effectiveness of the Company’s controls. EY is responsible for performing an independent audit of the Company’s consolidated financial statements and opining on the effectiveness of those controls in accordance with the standards of the Public Company Accounting Oversight Board (United States) (the “PCAOB”) and issuing its reports thereon. As provided in its charter, the Committee’s responsibilities include monitoring and overseeing these processes.</w:t>
      </w:r>
    </w:p>
    <w:p>
      <w:pPr>
        <w:spacing w:after="0" w:line="671"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Required Disclosures</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auto"/>
        </w:rPr>
        <w:t>In 2019, the Committee met six times and fulfilled all of its core charter obligations. Consistent with its charter responsibilities, the Committee met and held discussions with management and EY regarding the Company’s audited financial statements and internal controls for the year ended December 31, 2019. In this context, management represented to the Committee that the Company’s consolidated financial statements were prepared in accordance with accounting principles generally accepted in the United States. The Committee reviewed and discussed the consolidated financial statements with management and EY and further discussed with EY the matters required to be discussed by the standards of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6793865" cy="101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EY also provided to the Committee the written disclosures and the letter required by the applicable requirements of the PCAOB concerning independence, and the Committee discussed with EY the auditor’s independence. The Committee also considered and determined that the provision of non-audit services to GM is compatible with maintaining EY’s independence. The Committee concluded that EY was independent from the Company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35</w:t>
      </w:r>
    </w:p>
    <w:p>
      <w:pPr>
        <w:sectPr>
          <w:pgSz w:w="11900" w:h="16838" w:orient="portrait"/>
          <w:cols w:equalWidth="0" w:num="2">
            <w:col w:w="5400" w:space="340"/>
            <w:col w:w="5360"/>
          </w:cols>
          <w:pgMar w:left="320" w:top="456" w:right="4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Recommendation</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Based upon the Committee’s discussions with management</w:t>
      </w:r>
    </w:p>
    <w:p>
      <w:pPr>
        <w:ind w:left="160"/>
        <w:spacing w:after="0" w:line="223" w:lineRule="auto"/>
        <w:rPr>
          <w:sz w:val="20"/>
          <w:szCs w:val="20"/>
          <w:color w:val="auto"/>
        </w:rPr>
      </w:pPr>
      <w:r>
        <w:rPr>
          <w:rFonts w:ascii="Arial" w:cs="Arial" w:eastAsia="Arial" w:hAnsi="Arial"/>
          <w:sz w:val="20"/>
          <w:szCs w:val="20"/>
          <w:color w:val="auto"/>
        </w:rPr>
        <w:t>and EY as described in this report and the Committee’s</w:t>
      </w:r>
    </w:p>
    <w:p>
      <w:pPr>
        <w:ind w:left="160"/>
        <w:spacing w:after="0" w:line="223" w:lineRule="auto"/>
        <w:rPr>
          <w:sz w:val="20"/>
          <w:szCs w:val="20"/>
          <w:color w:val="auto"/>
        </w:rPr>
      </w:pPr>
      <w:r>
        <w:rPr>
          <w:rFonts w:ascii="Arial" w:cs="Arial" w:eastAsia="Arial" w:hAnsi="Arial"/>
          <w:sz w:val="20"/>
          <w:szCs w:val="20"/>
          <w:color w:val="auto"/>
        </w:rPr>
        <w:t>review of the representation of management and the reports</w:t>
      </w:r>
    </w:p>
    <w:p>
      <w:pPr>
        <w:ind w:left="160"/>
        <w:spacing w:after="0" w:line="223" w:lineRule="auto"/>
        <w:rPr>
          <w:sz w:val="20"/>
          <w:szCs w:val="20"/>
          <w:color w:val="auto"/>
        </w:rPr>
      </w:pPr>
      <w:r>
        <w:rPr>
          <w:rFonts w:ascii="Arial" w:cs="Arial" w:eastAsia="Arial" w:hAnsi="Arial"/>
          <w:sz w:val="20"/>
          <w:szCs w:val="20"/>
          <w:color w:val="auto"/>
        </w:rPr>
        <w:t>of EY to the Committee, the Committee recommended to</w:t>
      </w:r>
    </w:p>
    <w:p>
      <w:pPr>
        <w:ind w:left="160"/>
        <w:spacing w:after="0" w:line="224" w:lineRule="auto"/>
        <w:rPr>
          <w:sz w:val="20"/>
          <w:szCs w:val="20"/>
          <w:color w:val="auto"/>
        </w:rPr>
      </w:pPr>
      <w:r>
        <w:rPr>
          <w:rFonts w:ascii="Arial" w:cs="Arial" w:eastAsia="Arial" w:hAnsi="Arial"/>
          <w:sz w:val="20"/>
          <w:szCs w:val="20"/>
          <w:color w:val="auto"/>
        </w:rPr>
        <w:t>the Board of Directors, and the Board of Directors approved,</w:t>
      </w:r>
    </w:p>
    <w:p>
      <w:pPr>
        <w:ind w:left="160"/>
        <w:spacing w:after="0" w:line="235" w:lineRule="auto"/>
        <w:tabs>
          <w:tab w:leader="none" w:pos="640" w:val="left"/>
          <w:tab w:leader="none" w:pos="1620" w:val="left"/>
          <w:tab w:leader="none" w:pos="2000" w:val="left"/>
          <w:tab w:leader="none" w:pos="2480" w:val="left"/>
          <w:tab w:leader="none" w:pos="3340" w:val="left"/>
          <w:tab w:leader="none" w:pos="4660" w:val="left"/>
        </w:tabs>
        <w:rPr>
          <w:sz w:val="20"/>
          <w:szCs w:val="20"/>
          <w:color w:val="auto"/>
        </w:rPr>
      </w:pPr>
      <w:r>
        <w:rPr>
          <w:rFonts w:ascii="Arial" w:cs="Arial" w:eastAsia="Arial" w:hAnsi="Arial"/>
          <w:sz w:val="20"/>
          <w:szCs w:val="20"/>
          <w:color w:val="auto"/>
        </w:rPr>
        <w:t>the</w:t>
        <w:tab/>
        <w:t>inclusion</w:t>
        <w:tab/>
        <w:t>of</w:t>
        <w:tab/>
        <w:t>the</w:t>
        <w:tab/>
        <w:t>audited</w:t>
        <w:tab/>
        <w:t>consolidated</w:t>
      </w:r>
      <w:r>
        <w:rPr>
          <w:sz w:val="20"/>
          <w:szCs w:val="20"/>
          <w:color w:val="auto"/>
        </w:rPr>
        <w:tab/>
      </w:r>
      <w:r>
        <w:rPr>
          <w:rFonts w:ascii="Arial" w:cs="Arial" w:eastAsia="Arial" w:hAnsi="Arial"/>
          <w:sz w:val="19"/>
          <w:szCs w:val="19"/>
          <w:color w:val="auto"/>
        </w:rPr>
        <w:t>financial</w:t>
      </w:r>
    </w:p>
    <w:p>
      <w:pPr>
        <w:ind w:left="160"/>
        <w:spacing w:after="0" w:line="223" w:lineRule="auto"/>
        <w:rPr>
          <w:sz w:val="20"/>
          <w:szCs w:val="20"/>
          <w:color w:val="auto"/>
        </w:rPr>
      </w:pPr>
      <w:r>
        <w:rPr>
          <w:rFonts w:ascii="Arial" w:cs="Arial" w:eastAsia="Arial" w:hAnsi="Arial"/>
          <w:sz w:val="20"/>
          <w:szCs w:val="20"/>
          <w:color w:val="auto"/>
        </w:rPr>
        <w:t>statements in the Company’s Annual Report on Form 10-K</w:t>
      </w:r>
    </w:p>
    <w:p>
      <w:pPr>
        <w:ind w:left="160"/>
        <w:spacing w:after="0" w:line="223" w:lineRule="auto"/>
        <w:rPr>
          <w:sz w:val="20"/>
          <w:szCs w:val="20"/>
          <w:color w:val="auto"/>
        </w:rPr>
      </w:pPr>
      <w:r>
        <w:rPr>
          <w:rFonts w:ascii="Arial" w:cs="Arial" w:eastAsia="Arial" w:hAnsi="Arial"/>
          <w:sz w:val="20"/>
          <w:szCs w:val="20"/>
          <w:color w:val="auto"/>
        </w:rPr>
        <w:t>for the year ended December 31, 2019, as filed with the</w:t>
      </w:r>
    </w:p>
    <w:p>
      <w:pPr>
        <w:ind w:left="160"/>
        <w:spacing w:after="0" w:line="224" w:lineRule="auto"/>
        <w:rPr>
          <w:sz w:val="20"/>
          <w:szCs w:val="20"/>
          <w:color w:val="auto"/>
        </w:rPr>
      </w:pPr>
      <w:r>
        <w:rPr>
          <w:rFonts w:ascii="Arial" w:cs="Arial" w:eastAsia="Arial" w:hAnsi="Arial"/>
          <w:sz w:val="20"/>
          <w:szCs w:val="20"/>
          <w:color w:val="auto"/>
        </w:rPr>
        <w:t>U.S. Securities and Exchange Commission on February 5,</w:t>
      </w:r>
    </w:p>
    <w:p>
      <w:pPr>
        <w:ind w:left="160"/>
        <w:spacing w:after="0"/>
        <w:rPr>
          <w:sz w:val="20"/>
          <w:szCs w:val="20"/>
          <w:color w:val="auto"/>
        </w:rPr>
      </w:pPr>
      <w:r>
        <w:rPr>
          <w:rFonts w:ascii="Arial" w:cs="Arial" w:eastAsia="Arial" w:hAnsi="Arial"/>
          <w:sz w:val="20"/>
          <w:szCs w:val="20"/>
          <w:color w:val="auto"/>
        </w:rPr>
        <w:t>2020.</w:t>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Audit Committee</w:t>
      </w:r>
    </w:p>
    <w:p>
      <w:pPr>
        <w:ind w:left="160"/>
        <w:spacing w:after="0" w:line="231" w:lineRule="auto"/>
        <w:rPr>
          <w:sz w:val="20"/>
          <w:szCs w:val="20"/>
          <w:color w:val="auto"/>
        </w:rPr>
      </w:pPr>
      <w:r>
        <w:rPr>
          <w:rFonts w:ascii="Arial" w:cs="Arial" w:eastAsia="Arial" w:hAnsi="Arial"/>
          <w:sz w:val="20"/>
          <w:szCs w:val="20"/>
          <w:color w:val="auto"/>
        </w:rPr>
        <w:t>Thomas M. Schoewe (Chair)</w:t>
      </w:r>
    </w:p>
    <w:p>
      <w:pPr>
        <w:ind w:left="160"/>
        <w:spacing w:after="0" w:line="223" w:lineRule="auto"/>
        <w:rPr>
          <w:sz w:val="20"/>
          <w:szCs w:val="20"/>
          <w:color w:val="auto"/>
        </w:rPr>
      </w:pPr>
      <w:r>
        <w:rPr>
          <w:rFonts w:ascii="Arial" w:cs="Arial" w:eastAsia="Arial" w:hAnsi="Arial"/>
          <w:sz w:val="20"/>
          <w:szCs w:val="20"/>
          <w:color w:val="auto"/>
        </w:rPr>
        <w:t>Wesley G. Bush</w:t>
      </w:r>
    </w:p>
    <w:p>
      <w:pPr>
        <w:ind w:left="160"/>
        <w:spacing w:after="0" w:line="224" w:lineRule="auto"/>
        <w:rPr>
          <w:sz w:val="20"/>
          <w:szCs w:val="20"/>
          <w:color w:val="auto"/>
        </w:rPr>
      </w:pPr>
      <w:r>
        <w:rPr>
          <w:rFonts w:ascii="Arial" w:cs="Arial" w:eastAsia="Arial" w:hAnsi="Arial"/>
          <w:sz w:val="20"/>
          <w:szCs w:val="20"/>
          <w:color w:val="auto"/>
        </w:rPr>
        <w:t>Linda R. Gooden</w:t>
      </w:r>
    </w:p>
    <w:p>
      <w:pPr>
        <w:ind w:left="160"/>
        <w:spacing w:after="0" w:line="223" w:lineRule="auto"/>
        <w:rPr>
          <w:sz w:val="20"/>
          <w:szCs w:val="20"/>
          <w:color w:val="auto"/>
        </w:rPr>
      </w:pPr>
      <w:r>
        <w:rPr>
          <w:rFonts w:ascii="Arial" w:cs="Arial" w:eastAsia="Arial" w:hAnsi="Arial"/>
          <w:sz w:val="20"/>
          <w:szCs w:val="20"/>
          <w:color w:val="auto"/>
        </w:rPr>
        <w:t>Jane L. Mendillo</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Judith A. Miscik</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The preceding Audit Committee Report shall not be deemed</w:t>
      </w:r>
    </w:p>
    <w:p>
      <w:pPr>
        <w:ind w:left="160"/>
        <w:spacing w:after="0"/>
        <w:tabs>
          <w:tab w:leader="none" w:pos="1420" w:val="left"/>
          <w:tab w:leader="none" w:pos="1800" w:val="left"/>
          <w:tab w:leader="none" w:pos="2820" w:val="left"/>
          <w:tab w:leader="none" w:pos="3200" w:val="left"/>
          <w:tab w:leader="none" w:pos="3700" w:val="left"/>
          <w:tab w:leader="none" w:pos="4520" w:val="left"/>
        </w:tabs>
        <w:rPr>
          <w:sz w:val="20"/>
          <w:szCs w:val="20"/>
          <w:color w:val="auto"/>
        </w:rPr>
      </w:pPr>
      <w:r>
        <w:rPr>
          <w:rFonts w:ascii="Arial" w:cs="Arial" w:eastAsia="Arial" w:hAnsi="Arial"/>
          <w:sz w:val="20"/>
          <w:szCs w:val="20"/>
          <w:i w:val="1"/>
          <w:iCs w:val="1"/>
          <w:color w:val="auto"/>
        </w:rPr>
        <w:t>incorporated</w:t>
        <w:tab/>
        <w:t>by</w:t>
        <w:tab/>
        <w:t>reference</w:t>
        <w:tab/>
        <w:t>by</w:t>
        <w:tab/>
        <w:t>any</w:t>
        <w:tab/>
        <w:t>general</w:t>
      </w:r>
      <w:r>
        <w:rPr>
          <w:sz w:val="20"/>
          <w:szCs w:val="20"/>
          <w:color w:val="auto"/>
        </w:rPr>
        <w:tab/>
      </w:r>
      <w:r>
        <w:rPr>
          <w:rFonts w:ascii="Arial" w:cs="Arial" w:eastAsia="Arial" w:hAnsi="Arial"/>
          <w:sz w:val="19"/>
          <w:szCs w:val="19"/>
          <w:i w:val="1"/>
          <w:iCs w:val="1"/>
          <w:color w:val="auto"/>
        </w:rPr>
        <w:t>statement</w:t>
      </w:r>
    </w:p>
    <w:p>
      <w:pPr>
        <w:ind w:left="160"/>
        <w:spacing w:after="0" w:line="223" w:lineRule="auto"/>
        <w:rPr>
          <w:sz w:val="20"/>
          <w:szCs w:val="20"/>
          <w:color w:val="auto"/>
        </w:rPr>
      </w:pPr>
      <w:r>
        <w:rPr>
          <w:rFonts w:ascii="Arial" w:cs="Arial" w:eastAsia="Arial" w:hAnsi="Arial"/>
          <w:sz w:val="20"/>
          <w:szCs w:val="20"/>
          <w:i w:val="1"/>
          <w:iCs w:val="1"/>
          <w:color w:val="auto"/>
        </w:rPr>
        <w:t>incorporating by reference this Proxy Statement or any</w:t>
      </w:r>
    </w:p>
    <w:p>
      <w:pPr>
        <w:ind w:left="160"/>
        <w:spacing w:after="0" w:line="223" w:lineRule="auto"/>
        <w:rPr>
          <w:sz w:val="20"/>
          <w:szCs w:val="20"/>
          <w:color w:val="auto"/>
        </w:rPr>
      </w:pPr>
      <w:r>
        <w:rPr>
          <w:rFonts w:ascii="Arial" w:cs="Arial" w:eastAsia="Arial" w:hAnsi="Arial"/>
          <w:sz w:val="20"/>
          <w:szCs w:val="20"/>
          <w:i w:val="1"/>
          <w:iCs w:val="1"/>
          <w:color w:val="auto"/>
        </w:rPr>
        <w:t>portion hereof into any filing under the Securities Act of</w:t>
      </w:r>
    </w:p>
    <w:p>
      <w:pPr>
        <w:ind w:left="160"/>
        <w:spacing w:after="0" w:line="223" w:lineRule="auto"/>
        <w:rPr>
          <w:sz w:val="20"/>
          <w:szCs w:val="20"/>
          <w:color w:val="auto"/>
        </w:rPr>
      </w:pPr>
      <w:r>
        <w:rPr>
          <w:rFonts w:ascii="Arial" w:cs="Arial" w:eastAsia="Arial" w:hAnsi="Arial"/>
          <w:sz w:val="20"/>
          <w:szCs w:val="20"/>
          <w:i w:val="1"/>
          <w:iCs w:val="1"/>
          <w:color w:val="auto"/>
        </w:rPr>
        <w:t>1933, as amended, or the Securities Exchange Act of 1934,</w:t>
      </w:r>
    </w:p>
    <w:p>
      <w:pPr>
        <w:ind w:left="160"/>
        <w:spacing w:after="0" w:line="224" w:lineRule="auto"/>
        <w:rPr>
          <w:sz w:val="20"/>
          <w:szCs w:val="20"/>
          <w:color w:val="auto"/>
        </w:rPr>
      </w:pPr>
      <w:r>
        <w:rPr>
          <w:rFonts w:ascii="Arial" w:cs="Arial" w:eastAsia="Arial" w:hAnsi="Arial"/>
          <w:sz w:val="20"/>
          <w:szCs w:val="20"/>
          <w:i w:val="1"/>
          <w:iCs w:val="1"/>
          <w:color w:val="auto"/>
        </w:rPr>
        <w:t>as amended, and shall not otherwise be deemed filed</w:t>
      </w:r>
    </w:p>
    <w:p>
      <w:pPr>
        <w:ind w:left="160"/>
        <w:spacing w:after="0"/>
        <w:rPr>
          <w:sz w:val="20"/>
          <w:szCs w:val="20"/>
          <w:color w:val="auto"/>
        </w:rPr>
      </w:pPr>
      <w:r>
        <w:rPr>
          <w:rFonts w:ascii="Arial" w:cs="Arial" w:eastAsia="Arial" w:hAnsi="Arial"/>
          <w:sz w:val="20"/>
          <w:szCs w:val="20"/>
          <w:i w:val="1"/>
          <w:iCs w:val="1"/>
          <w:color w:val="auto"/>
        </w:rPr>
        <w:t>thereunder.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36 </w:t>
      </w:r>
      <w:r>
        <w:rPr>
          <w:sz w:val="1"/>
          <w:szCs w:val="1"/>
          <w:color w:val="auto"/>
        </w:rPr>
        <w:drawing>
          <wp:inline distT="0" distB="0" distL="0" distR="0">
            <wp:extent cx="6793865" cy="1016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369570</wp:posOffset>
            </wp:positionV>
            <wp:extent cx="6114415" cy="144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14415"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4700" w:type="dxa"/>
            <w:vAlign w:val="bottom"/>
          </w:tcPr>
          <w:p>
            <w:pPr>
              <w:spacing w:after="0"/>
              <w:rPr>
                <w:sz w:val="20"/>
                <w:szCs w:val="20"/>
                <w:color w:val="auto"/>
              </w:rPr>
            </w:pPr>
            <w:r>
              <w:rPr>
                <w:rFonts w:ascii="Arial" w:cs="Arial" w:eastAsia="Arial" w:hAnsi="Arial"/>
                <w:sz w:val="20"/>
                <w:szCs w:val="20"/>
                <w:b w:val="1"/>
                <w:bCs w:val="1"/>
                <w:color w:val="0033A0"/>
              </w:rPr>
              <w:t>Compensation Discussion and Analysis (CD&amp;A)</w:t>
            </w:r>
          </w:p>
        </w:tc>
        <w:tc>
          <w:tcPr>
            <w:tcW w:w="660" w:type="dxa"/>
            <w:vAlign w:val="bottom"/>
          </w:tcPr>
          <w:p>
            <w:pPr>
              <w:spacing w:after="0"/>
              <w:rPr>
                <w:sz w:val="22"/>
                <w:szCs w:val="22"/>
                <w:color w:val="auto"/>
              </w:rPr>
            </w:pPr>
          </w:p>
        </w:tc>
        <w:tc>
          <w:tcPr>
            <w:tcW w:w="3740" w:type="dxa"/>
            <w:vAlign w:val="bottom"/>
          </w:tcPr>
          <w:p>
            <w:pPr>
              <w:ind w:left="200"/>
              <w:spacing w:after="0"/>
              <w:rPr>
                <w:sz w:val="20"/>
                <w:szCs w:val="20"/>
                <w:color w:val="auto"/>
              </w:rPr>
            </w:pPr>
            <w:r>
              <w:rPr>
                <w:rFonts w:ascii="Arial" w:cs="Arial" w:eastAsia="Arial" w:hAnsi="Arial"/>
                <w:sz w:val="20"/>
                <w:szCs w:val="20"/>
                <w:b w:val="1"/>
                <w:bCs w:val="1"/>
                <w:color w:val="0033A0"/>
              </w:rPr>
              <w:t>Executive Compensation Tables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r>
              <w:rPr>
                <w:rFonts w:ascii="Arial" w:cs="Arial" w:eastAsia="Arial" w:hAnsi="Arial"/>
                <w:sz w:val="20"/>
                <w:szCs w:val="20"/>
                <w:color w:val="auto"/>
              </w:rPr>
              <w:t>Compensation Overview</w:t>
            </w:r>
          </w:p>
        </w:tc>
        <w:tc>
          <w:tcPr>
            <w:tcW w:w="660" w:type="dxa"/>
            <w:vAlign w:val="bottom"/>
          </w:tcPr>
          <w:p>
            <w:pPr>
              <w:jc w:val="right"/>
              <w:ind w:right="102"/>
              <w:spacing w:after="0"/>
              <w:rPr>
                <w:sz w:val="20"/>
                <w:szCs w:val="20"/>
                <w:color w:val="auto"/>
              </w:rPr>
            </w:pPr>
            <w:r>
              <w:rPr>
                <w:rFonts w:ascii="Arial" w:cs="Arial" w:eastAsia="Arial" w:hAnsi="Arial"/>
                <w:sz w:val="20"/>
                <w:szCs w:val="20"/>
                <w:color w:val="auto"/>
              </w:rPr>
              <w:t>38</w:t>
            </w:r>
          </w:p>
        </w:tc>
        <w:tc>
          <w:tcPr>
            <w:tcW w:w="3740" w:type="dxa"/>
            <w:vAlign w:val="bottom"/>
          </w:tcPr>
          <w:p>
            <w:pPr>
              <w:ind w:left="200"/>
              <w:spacing w:after="0"/>
              <w:rPr>
                <w:sz w:val="20"/>
                <w:szCs w:val="20"/>
                <w:color w:val="auto"/>
              </w:rPr>
            </w:pPr>
            <w:r>
              <w:rPr>
                <w:rFonts w:ascii="Arial" w:cs="Arial" w:eastAsia="Arial" w:hAnsi="Arial"/>
                <w:sz w:val="20"/>
                <w:szCs w:val="20"/>
                <w:color w:val="auto"/>
              </w:rPr>
              <w:t>Summary Compensation Table</w:t>
            </w:r>
          </w:p>
        </w:tc>
        <w:tc>
          <w:tcPr>
            <w:tcW w:w="50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r>
              <w:rPr>
                <w:rFonts w:ascii="Arial" w:cs="Arial" w:eastAsia="Arial" w:hAnsi="Arial"/>
                <w:sz w:val="20"/>
                <w:szCs w:val="20"/>
                <w:color w:val="auto"/>
              </w:rPr>
              <w:t>Compensation Principles</w:t>
            </w:r>
          </w:p>
        </w:tc>
        <w:tc>
          <w:tcPr>
            <w:tcW w:w="660" w:type="dxa"/>
            <w:vAlign w:val="bottom"/>
          </w:tcPr>
          <w:p>
            <w:pPr>
              <w:jc w:val="right"/>
              <w:ind w:right="102"/>
              <w:spacing w:after="0"/>
              <w:rPr>
                <w:sz w:val="20"/>
                <w:szCs w:val="20"/>
                <w:color w:val="auto"/>
              </w:rPr>
            </w:pPr>
            <w:r>
              <w:rPr>
                <w:rFonts w:ascii="Arial" w:cs="Arial" w:eastAsia="Arial" w:hAnsi="Arial"/>
                <w:sz w:val="20"/>
                <w:szCs w:val="20"/>
                <w:color w:val="auto"/>
              </w:rPr>
              <w:t>45</w:t>
            </w:r>
          </w:p>
        </w:tc>
        <w:tc>
          <w:tcPr>
            <w:tcW w:w="3740" w:type="dxa"/>
            <w:vAlign w:val="bottom"/>
          </w:tcPr>
          <w:p>
            <w:pPr>
              <w:ind w:left="200"/>
              <w:spacing w:after="0"/>
              <w:rPr>
                <w:sz w:val="20"/>
                <w:szCs w:val="20"/>
                <w:color w:val="auto"/>
              </w:rPr>
            </w:pPr>
            <w:r>
              <w:rPr>
                <w:rFonts w:ascii="Arial" w:cs="Arial" w:eastAsia="Arial" w:hAnsi="Arial"/>
                <w:sz w:val="20"/>
                <w:szCs w:val="20"/>
                <w:color w:val="auto"/>
              </w:rPr>
              <w:t>Grants of Plan-Based Awards</w:t>
            </w:r>
          </w:p>
        </w:tc>
        <w:tc>
          <w:tcPr>
            <w:tcW w:w="5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19"/>
        </w:trPr>
        <w:tc>
          <w:tcPr>
            <w:tcW w:w="4700" w:type="dxa"/>
            <w:vAlign w:val="bottom"/>
          </w:tcPr>
          <w:p>
            <w:pPr>
              <w:spacing w:after="0" w:line="219" w:lineRule="exact"/>
              <w:rPr>
                <w:sz w:val="20"/>
                <w:szCs w:val="20"/>
                <w:color w:val="auto"/>
              </w:rPr>
            </w:pPr>
            <w:r>
              <w:rPr>
                <w:rFonts w:ascii="Arial" w:cs="Arial" w:eastAsia="Arial" w:hAnsi="Arial"/>
                <w:sz w:val="20"/>
                <w:szCs w:val="20"/>
                <w:color w:val="auto"/>
              </w:rPr>
              <w:t>Compensation Elements</w:t>
            </w:r>
          </w:p>
        </w:tc>
        <w:tc>
          <w:tcPr>
            <w:tcW w:w="660" w:type="dxa"/>
            <w:vAlign w:val="bottom"/>
          </w:tcPr>
          <w:p>
            <w:pPr>
              <w:jc w:val="right"/>
              <w:ind w:right="102"/>
              <w:spacing w:after="0" w:line="219" w:lineRule="exact"/>
              <w:rPr>
                <w:sz w:val="20"/>
                <w:szCs w:val="20"/>
                <w:color w:val="auto"/>
              </w:rPr>
            </w:pPr>
            <w:r>
              <w:rPr>
                <w:rFonts w:ascii="Arial" w:cs="Arial" w:eastAsia="Arial" w:hAnsi="Arial"/>
                <w:sz w:val="20"/>
                <w:szCs w:val="20"/>
                <w:color w:val="auto"/>
              </w:rPr>
              <w:t>45</w:t>
            </w:r>
          </w:p>
        </w:tc>
        <w:tc>
          <w:tcPr>
            <w:tcW w:w="3740" w:type="dxa"/>
            <w:vAlign w:val="bottom"/>
          </w:tcPr>
          <w:p>
            <w:pPr>
              <w:ind w:left="200"/>
              <w:spacing w:after="0" w:line="219" w:lineRule="exact"/>
              <w:rPr>
                <w:sz w:val="20"/>
                <w:szCs w:val="20"/>
                <w:color w:val="auto"/>
              </w:rPr>
            </w:pPr>
            <w:r>
              <w:rPr>
                <w:rFonts w:ascii="Arial" w:cs="Arial" w:eastAsia="Arial" w:hAnsi="Arial"/>
                <w:sz w:val="20"/>
                <w:szCs w:val="20"/>
                <w:color w:val="auto"/>
              </w:rPr>
              <w:t>Outstanding Equity Awards at Fiscal</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r>
              <w:rPr>
                <w:rFonts w:ascii="Arial" w:cs="Arial" w:eastAsia="Arial" w:hAnsi="Arial"/>
                <w:sz w:val="20"/>
                <w:szCs w:val="20"/>
                <w:color w:val="auto"/>
              </w:rPr>
              <w:t>Performance Measures</w:t>
            </w:r>
          </w:p>
        </w:tc>
        <w:tc>
          <w:tcPr>
            <w:tcW w:w="660" w:type="dxa"/>
            <w:vAlign w:val="bottom"/>
          </w:tcPr>
          <w:p>
            <w:pPr>
              <w:jc w:val="right"/>
              <w:ind w:right="102"/>
              <w:spacing w:after="0"/>
              <w:rPr>
                <w:sz w:val="20"/>
                <w:szCs w:val="20"/>
                <w:color w:val="auto"/>
              </w:rPr>
            </w:pPr>
            <w:r>
              <w:rPr>
                <w:rFonts w:ascii="Arial" w:cs="Arial" w:eastAsia="Arial" w:hAnsi="Arial"/>
                <w:sz w:val="20"/>
                <w:szCs w:val="20"/>
                <w:color w:val="auto"/>
              </w:rPr>
              <w:t>47</w:t>
            </w:r>
          </w:p>
        </w:tc>
        <w:tc>
          <w:tcPr>
            <w:tcW w:w="3740" w:type="dxa"/>
            <w:vAlign w:val="bottom"/>
          </w:tcPr>
          <w:p>
            <w:pPr>
              <w:ind w:left="200"/>
              <w:spacing w:after="0"/>
              <w:rPr>
                <w:sz w:val="20"/>
                <w:szCs w:val="20"/>
                <w:color w:val="auto"/>
              </w:rPr>
            </w:pPr>
            <w:r>
              <w:rPr>
                <w:rFonts w:ascii="Arial" w:cs="Arial" w:eastAsia="Arial" w:hAnsi="Arial"/>
                <w:sz w:val="20"/>
                <w:szCs w:val="20"/>
                <w:color w:val="auto"/>
              </w:rPr>
              <w:t>Year-End</w:t>
            </w:r>
          </w:p>
        </w:tc>
        <w:tc>
          <w:tcPr>
            <w:tcW w:w="50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r>
              <w:rPr>
                <w:rFonts w:ascii="Arial" w:cs="Arial" w:eastAsia="Arial" w:hAnsi="Arial"/>
                <w:sz w:val="20"/>
                <w:szCs w:val="20"/>
                <w:color w:val="auto"/>
              </w:rPr>
              <w:t>Performance Results and Compensation Decisions</w:t>
            </w:r>
          </w:p>
        </w:tc>
        <w:tc>
          <w:tcPr>
            <w:tcW w:w="660" w:type="dxa"/>
            <w:vAlign w:val="bottom"/>
          </w:tcPr>
          <w:p>
            <w:pPr>
              <w:jc w:val="right"/>
              <w:ind w:right="102"/>
              <w:spacing w:after="0"/>
              <w:rPr>
                <w:sz w:val="20"/>
                <w:szCs w:val="20"/>
                <w:color w:val="auto"/>
              </w:rPr>
            </w:pPr>
            <w:r>
              <w:rPr>
                <w:rFonts w:ascii="Arial" w:cs="Arial" w:eastAsia="Arial" w:hAnsi="Arial"/>
                <w:sz w:val="20"/>
                <w:szCs w:val="20"/>
                <w:color w:val="auto"/>
              </w:rPr>
              <w:t>50</w:t>
            </w:r>
          </w:p>
        </w:tc>
        <w:tc>
          <w:tcPr>
            <w:tcW w:w="3740" w:type="dxa"/>
            <w:vAlign w:val="bottom"/>
          </w:tcPr>
          <w:p>
            <w:pPr>
              <w:ind w:left="200"/>
              <w:spacing w:after="0"/>
              <w:rPr>
                <w:sz w:val="20"/>
                <w:szCs w:val="20"/>
                <w:color w:val="auto"/>
              </w:rPr>
            </w:pPr>
            <w:r>
              <w:rPr>
                <w:rFonts w:ascii="Arial" w:cs="Arial" w:eastAsia="Arial" w:hAnsi="Arial"/>
                <w:sz w:val="20"/>
                <w:szCs w:val="20"/>
                <w:color w:val="auto"/>
              </w:rPr>
              <w:t>Option Exercises and Stock Vested</w:t>
            </w:r>
          </w:p>
        </w:tc>
        <w:tc>
          <w:tcPr>
            <w:tcW w:w="5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r>
              <w:rPr>
                <w:rFonts w:ascii="Arial" w:cs="Arial" w:eastAsia="Arial" w:hAnsi="Arial"/>
                <w:sz w:val="20"/>
                <w:szCs w:val="20"/>
                <w:color w:val="auto"/>
              </w:rPr>
              <w:t>Compensation Policies and Governance Practices</w:t>
            </w:r>
          </w:p>
        </w:tc>
        <w:tc>
          <w:tcPr>
            <w:tcW w:w="660" w:type="dxa"/>
            <w:vAlign w:val="bottom"/>
          </w:tcPr>
          <w:p>
            <w:pPr>
              <w:jc w:val="right"/>
              <w:ind w:right="102"/>
              <w:spacing w:after="0"/>
              <w:rPr>
                <w:sz w:val="20"/>
                <w:szCs w:val="20"/>
                <w:color w:val="auto"/>
              </w:rPr>
            </w:pPr>
            <w:r>
              <w:rPr>
                <w:rFonts w:ascii="Arial" w:cs="Arial" w:eastAsia="Arial" w:hAnsi="Arial"/>
                <w:sz w:val="20"/>
                <w:szCs w:val="20"/>
                <w:color w:val="auto"/>
              </w:rPr>
              <w:t>58</w:t>
            </w:r>
          </w:p>
        </w:tc>
        <w:tc>
          <w:tcPr>
            <w:tcW w:w="3740" w:type="dxa"/>
            <w:vAlign w:val="bottom"/>
          </w:tcPr>
          <w:p>
            <w:pPr>
              <w:ind w:left="200"/>
              <w:spacing w:after="0"/>
              <w:rPr>
                <w:sz w:val="20"/>
                <w:szCs w:val="20"/>
                <w:color w:val="auto"/>
              </w:rPr>
            </w:pPr>
            <w:r>
              <w:rPr>
                <w:rFonts w:ascii="Arial" w:cs="Arial" w:eastAsia="Arial" w:hAnsi="Arial"/>
                <w:sz w:val="20"/>
                <w:szCs w:val="20"/>
                <w:color w:val="auto"/>
              </w:rPr>
              <w:t>Pension Benefits</w:t>
            </w:r>
          </w:p>
        </w:tc>
        <w:tc>
          <w:tcPr>
            <w:tcW w:w="5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14"/>
        </w:trPr>
        <w:tc>
          <w:tcPr>
            <w:tcW w:w="4700" w:type="dxa"/>
            <w:vAlign w:val="bottom"/>
          </w:tcPr>
          <w:p>
            <w:pPr>
              <w:spacing w:after="0" w:line="214" w:lineRule="exact"/>
              <w:rPr>
                <w:sz w:val="20"/>
                <w:szCs w:val="20"/>
                <w:color w:val="auto"/>
              </w:rPr>
            </w:pPr>
            <w:r>
              <w:rPr>
                <w:rFonts w:ascii="Arial" w:cs="Arial" w:eastAsia="Arial" w:hAnsi="Arial"/>
                <w:sz w:val="20"/>
                <w:szCs w:val="20"/>
                <w:color w:val="auto"/>
              </w:rPr>
              <w:t>Compensation Committee Report</w:t>
            </w:r>
          </w:p>
        </w:tc>
        <w:tc>
          <w:tcPr>
            <w:tcW w:w="660" w:type="dxa"/>
            <w:vAlign w:val="bottom"/>
          </w:tcPr>
          <w:p>
            <w:pPr>
              <w:jc w:val="right"/>
              <w:ind w:right="102"/>
              <w:spacing w:after="0" w:line="214" w:lineRule="exact"/>
              <w:rPr>
                <w:sz w:val="20"/>
                <w:szCs w:val="20"/>
                <w:color w:val="auto"/>
              </w:rPr>
            </w:pPr>
            <w:r>
              <w:rPr>
                <w:rFonts w:ascii="Arial" w:cs="Arial" w:eastAsia="Arial" w:hAnsi="Arial"/>
                <w:sz w:val="20"/>
                <w:szCs w:val="20"/>
                <w:color w:val="auto"/>
              </w:rPr>
              <w:t>61</w:t>
            </w:r>
          </w:p>
        </w:tc>
        <w:tc>
          <w:tcPr>
            <w:tcW w:w="3740" w:type="dxa"/>
            <w:vAlign w:val="bottom"/>
          </w:tcPr>
          <w:p>
            <w:pPr>
              <w:ind w:left="200"/>
              <w:spacing w:after="0" w:line="214" w:lineRule="exact"/>
              <w:rPr>
                <w:sz w:val="20"/>
                <w:szCs w:val="20"/>
                <w:color w:val="auto"/>
              </w:rPr>
            </w:pPr>
            <w:r>
              <w:rPr>
                <w:rFonts w:ascii="Arial" w:cs="Arial" w:eastAsia="Arial" w:hAnsi="Arial"/>
                <w:sz w:val="20"/>
                <w:szCs w:val="20"/>
                <w:color w:val="auto"/>
              </w:rPr>
              <w:t>Nonqualified Deferred Compensation</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auto"/>
              </w:rPr>
              <w:t>69</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20"/>
                <w:szCs w:val="20"/>
                <w:color w:val="auto"/>
              </w:rPr>
              <w:t>Plan</w:t>
            </w: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20"/>
                <w:szCs w:val="20"/>
                <w:color w:val="auto"/>
              </w:rPr>
              <w:t>Potential Payments Upon Termination</w:t>
            </w:r>
          </w:p>
        </w:tc>
        <w:tc>
          <w:tcPr>
            <w:tcW w:w="500" w:type="dxa"/>
            <w:vAlign w:val="bottom"/>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345440</wp:posOffset>
            </wp:positionV>
            <wp:extent cx="6114415" cy="144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14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640" w:type="dxa"/>
            <w:vAlign w:val="bottom"/>
          </w:tcPr>
          <w:p>
            <w:pPr>
              <w:spacing w:after="0"/>
              <w:rPr>
                <w:sz w:val="20"/>
                <w:szCs w:val="20"/>
                <w:color w:val="auto"/>
              </w:rPr>
            </w:pPr>
            <w:r>
              <w:rPr>
                <w:rFonts w:ascii="Arial" w:cs="Arial" w:eastAsia="Arial" w:hAnsi="Arial"/>
                <w:sz w:val="20"/>
                <w:szCs w:val="20"/>
                <w:color w:val="auto"/>
              </w:rPr>
              <w:t>AFCF</w:t>
            </w: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  Automotive Free Cash Flow</w:t>
            </w:r>
          </w:p>
        </w:tc>
        <w:tc>
          <w:tcPr>
            <w:tcW w:w="1220" w:type="dxa"/>
            <w:vAlign w:val="bottom"/>
          </w:tcPr>
          <w:p>
            <w:pPr>
              <w:ind w:left="540"/>
              <w:spacing w:after="0"/>
              <w:rPr>
                <w:sz w:val="20"/>
                <w:szCs w:val="20"/>
                <w:color w:val="auto"/>
              </w:rPr>
            </w:pPr>
            <w:r>
              <w:rPr>
                <w:rFonts w:ascii="Arial" w:cs="Arial" w:eastAsia="Arial" w:hAnsi="Arial"/>
                <w:sz w:val="20"/>
                <w:szCs w:val="20"/>
                <w:color w:val="auto"/>
              </w:rPr>
              <w:t>NEO</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Named Executive Officer</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DB</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Defined Benefit</w:t>
            </w:r>
          </w:p>
        </w:tc>
        <w:tc>
          <w:tcPr>
            <w:tcW w:w="1220" w:type="dxa"/>
            <w:vAlign w:val="bottom"/>
          </w:tcPr>
          <w:p>
            <w:pPr>
              <w:ind w:left="540"/>
              <w:spacing w:after="0"/>
              <w:rPr>
                <w:sz w:val="20"/>
                <w:szCs w:val="20"/>
                <w:color w:val="auto"/>
              </w:rPr>
            </w:pPr>
            <w:r>
              <w:rPr>
                <w:rFonts w:ascii="Arial" w:cs="Arial" w:eastAsia="Arial" w:hAnsi="Arial"/>
                <w:sz w:val="20"/>
                <w:szCs w:val="20"/>
                <w:color w:val="auto"/>
              </w:rPr>
              <w:t>NQ</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Nonqualified</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DC</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Defined Contribution</w:t>
            </w:r>
          </w:p>
        </w:tc>
        <w:tc>
          <w:tcPr>
            <w:tcW w:w="1220" w:type="dxa"/>
            <w:vAlign w:val="bottom"/>
          </w:tcPr>
          <w:p>
            <w:pPr>
              <w:ind w:left="540"/>
              <w:spacing w:after="0"/>
              <w:rPr>
                <w:sz w:val="20"/>
                <w:szCs w:val="20"/>
                <w:color w:val="auto"/>
              </w:rPr>
            </w:pPr>
            <w:r>
              <w:rPr>
                <w:rFonts w:ascii="Arial" w:cs="Arial" w:eastAsia="Arial" w:hAnsi="Arial"/>
                <w:sz w:val="20"/>
                <w:szCs w:val="20"/>
                <w:color w:val="auto"/>
              </w:rPr>
              <w:t>OEM</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w w:val="99"/>
              </w:rPr>
              <w:t>Original Equipment Manufacturer</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DSV</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Driving Stockholder Value</w:t>
            </w:r>
          </w:p>
        </w:tc>
        <w:tc>
          <w:tcPr>
            <w:tcW w:w="1220" w:type="dxa"/>
            <w:vAlign w:val="bottom"/>
          </w:tcPr>
          <w:p>
            <w:pPr>
              <w:ind w:left="540"/>
              <w:spacing w:after="0"/>
              <w:rPr>
                <w:sz w:val="20"/>
                <w:szCs w:val="20"/>
                <w:color w:val="auto"/>
              </w:rPr>
            </w:pPr>
            <w:r>
              <w:rPr>
                <w:rFonts w:ascii="Arial" w:cs="Arial" w:eastAsia="Arial" w:hAnsi="Arial"/>
                <w:sz w:val="20"/>
                <w:szCs w:val="20"/>
                <w:color w:val="auto"/>
              </w:rPr>
              <w:t>PSU</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Performance Share Unit</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EBIT</w:t>
            </w: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  Earnings Before Interest and Taxes</w:t>
            </w:r>
          </w:p>
        </w:tc>
        <w:tc>
          <w:tcPr>
            <w:tcW w:w="1220" w:type="dxa"/>
            <w:vAlign w:val="bottom"/>
          </w:tcPr>
          <w:p>
            <w:pPr>
              <w:ind w:left="540"/>
              <w:spacing w:after="0"/>
              <w:rPr>
                <w:sz w:val="20"/>
                <w:szCs w:val="20"/>
                <w:color w:val="auto"/>
              </w:rPr>
            </w:pPr>
            <w:r>
              <w:rPr>
                <w:rFonts w:ascii="Arial" w:cs="Arial" w:eastAsia="Arial" w:hAnsi="Arial"/>
                <w:sz w:val="20"/>
                <w:szCs w:val="20"/>
                <w:color w:val="auto"/>
              </w:rPr>
              <w:t>ROIC</w:t>
            </w:r>
          </w:p>
        </w:tc>
        <w:tc>
          <w:tcPr>
            <w:tcW w:w="3300" w:type="dxa"/>
            <w:vAlign w:val="bottom"/>
            <w:gridSpan w:val="2"/>
          </w:tcPr>
          <w:p>
            <w:pPr>
              <w:ind w:left="100"/>
              <w:spacing w:after="0"/>
              <w:rPr>
                <w:sz w:val="20"/>
                <w:szCs w:val="20"/>
                <w:color w:val="auto"/>
              </w:rPr>
            </w:pPr>
            <w:r>
              <w:rPr>
                <w:rFonts w:ascii="Arial" w:cs="Arial" w:eastAsia="Arial" w:hAnsi="Arial"/>
                <w:sz w:val="20"/>
                <w:szCs w:val="20"/>
                <w:color w:val="auto"/>
              </w:rPr>
              <w:t>–  Return on Invested Capital</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EPS</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Earnings Per Share</w:t>
            </w:r>
          </w:p>
        </w:tc>
        <w:tc>
          <w:tcPr>
            <w:tcW w:w="1220" w:type="dxa"/>
            <w:vAlign w:val="bottom"/>
          </w:tcPr>
          <w:p>
            <w:pPr>
              <w:ind w:left="540"/>
              <w:spacing w:after="0"/>
              <w:rPr>
                <w:sz w:val="20"/>
                <w:szCs w:val="20"/>
                <w:color w:val="auto"/>
              </w:rPr>
            </w:pPr>
            <w:r>
              <w:rPr>
                <w:rFonts w:ascii="Arial" w:cs="Arial" w:eastAsia="Arial" w:hAnsi="Arial"/>
                <w:sz w:val="20"/>
                <w:szCs w:val="20"/>
                <w:color w:val="auto"/>
              </w:rPr>
              <w:t>RSA</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Restricted Stock Award</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ESG</w:t>
            </w: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  Environmental, Social, and Governance</w:t>
            </w:r>
          </w:p>
        </w:tc>
        <w:tc>
          <w:tcPr>
            <w:tcW w:w="1220" w:type="dxa"/>
            <w:vAlign w:val="bottom"/>
          </w:tcPr>
          <w:p>
            <w:pPr>
              <w:ind w:left="540"/>
              <w:spacing w:after="0"/>
              <w:rPr>
                <w:sz w:val="20"/>
                <w:szCs w:val="20"/>
                <w:color w:val="auto"/>
              </w:rPr>
            </w:pPr>
            <w:r>
              <w:rPr>
                <w:rFonts w:ascii="Arial" w:cs="Arial" w:eastAsia="Arial" w:hAnsi="Arial"/>
                <w:sz w:val="20"/>
                <w:szCs w:val="20"/>
                <w:color w:val="auto"/>
              </w:rPr>
              <w:t>RSU</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Restricted Stock Unit</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EV</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Electric Vehicle</w:t>
            </w:r>
          </w:p>
        </w:tc>
        <w:tc>
          <w:tcPr>
            <w:tcW w:w="1220" w:type="dxa"/>
            <w:vAlign w:val="bottom"/>
          </w:tcPr>
          <w:p>
            <w:pPr>
              <w:ind w:left="540"/>
              <w:spacing w:after="0"/>
              <w:rPr>
                <w:sz w:val="20"/>
                <w:szCs w:val="20"/>
                <w:color w:val="auto"/>
              </w:rPr>
            </w:pPr>
            <w:r>
              <w:rPr>
                <w:rFonts w:ascii="Arial" w:cs="Arial" w:eastAsia="Arial" w:hAnsi="Arial"/>
                <w:sz w:val="20"/>
                <w:szCs w:val="20"/>
                <w:color w:val="auto"/>
              </w:rPr>
              <w:t>STIP</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Short-Term Incentive Plan</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GICS</w:t>
            </w: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  Global Industry Classification Standard</w:t>
            </w:r>
          </w:p>
        </w:tc>
        <w:tc>
          <w:tcPr>
            <w:tcW w:w="1220" w:type="dxa"/>
            <w:vAlign w:val="bottom"/>
          </w:tcPr>
          <w:p>
            <w:pPr>
              <w:ind w:left="540"/>
              <w:spacing w:after="0"/>
              <w:rPr>
                <w:sz w:val="20"/>
                <w:szCs w:val="20"/>
                <w:color w:val="auto"/>
              </w:rPr>
            </w:pPr>
            <w:r>
              <w:rPr>
                <w:rFonts w:ascii="Arial" w:cs="Arial" w:eastAsia="Arial" w:hAnsi="Arial"/>
                <w:sz w:val="20"/>
                <w:szCs w:val="20"/>
                <w:color w:val="auto"/>
              </w:rPr>
              <w:t>TSR</w:t>
            </w:r>
          </w:p>
        </w:tc>
        <w:tc>
          <w:tcPr>
            <w:tcW w:w="280" w:type="dxa"/>
            <w:vAlign w:val="bottom"/>
          </w:tcPr>
          <w:p>
            <w:pPr>
              <w:ind w:left="100"/>
              <w:spacing w:after="0"/>
              <w:rPr>
                <w:sz w:val="20"/>
                <w:szCs w:val="20"/>
                <w:color w:val="auto"/>
              </w:rPr>
            </w:pPr>
            <w:r>
              <w:rPr>
                <w:rFonts w:ascii="Arial" w:cs="Arial" w:eastAsia="Arial" w:hAnsi="Arial"/>
                <w:sz w:val="20"/>
                <w:szCs w:val="20"/>
                <w:color w:val="auto"/>
              </w:rPr>
              <w:t>–</w:t>
            </w:r>
          </w:p>
        </w:tc>
        <w:tc>
          <w:tcPr>
            <w:tcW w:w="3020" w:type="dxa"/>
            <w:vAlign w:val="bottom"/>
          </w:tcPr>
          <w:p>
            <w:pPr>
              <w:ind w:left="80"/>
              <w:spacing w:after="0"/>
              <w:rPr>
                <w:sz w:val="20"/>
                <w:szCs w:val="20"/>
                <w:color w:val="auto"/>
              </w:rPr>
            </w:pPr>
            <w:r>
              <w:rPr>
                <w:rFonts w:ascii="Arial" w:cs="Arial" w:eastAsia="Arial" w:hAnsi="Arial"/>
                <w:sz w:val="20"/>
                <w:szCs w:val="20"/>
                <w:color w:val="auto"/>
              </w:rPr>
              <w:t>Total Shareholder Return</w:t>
            </w:r>
          </w:p>
        </w:tc>
      </w:tr>
      <w:tr>
        <w:trPr>
          <w:trHeight w:val="348"/>
        </w:trPr>
        <w:tc>
          <w:tcPr>
            <w:tcW w:w="640" w:type="dxa"/>
            <w:vAlign w:val="bottom"/>
          </w:tcPr>
          <w:p>
            <w:pPr>
              <w:spacing w:after="0"/>
              <w:rPr>
                <w:sz w:val="20"/>
                <w:szCs w:val="20"/>
                <w:color w:val="auto"/>
              </w:rPr>
            </w:pPr>
            <w:r>
              <w:rPr>
                <w:rFonts w:ascii="Arial" w:cs="Arial" w:eastAsia="Arial" w:hAnsi="Arial"/>
                <w:sz w:val="20"/>
                <w:szCs w:val="20"/>
                <w:color w:val="auto"/>
              </w:rPr>
              <w:t>LTIP</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4080" w:type="dxa"/>
            <w:vAlign w:val="bottom"/>
          </w:tcPr>
          <w:p>
            <w:pPr>
              <w:ind w:left="80"/>
              <w:spacing w:after="0"/>
              <w:rPr>
                <w:sz w:val="20"/>
                <w:szCs w:val="20"/>
                <w:color w:val="auto"/>
              </w:rPr>
            </w:pPr>
            <w:r>
              <w:rPr>
                <w:rFonts w:ascii="Arial" w:cs="Arial" w:eastAsia="Arial" w:hAnsi="Arial"/>
                <w:sz w:val="20"/>
                <w:szCs w:val="20"/>
                <w:color w:val="auto"/>
              </w:rPr>
              <w:t>Long-Term Incentive Plan</w:t>
            </w:r>
          </w:p>
        </w:tc>
        <w:tc>
          <w:tcPr>
            <w:tcW w:w="1220" w:type="dxa"/>
            <w:vAlign w:val="bottom"/>
          </w:tcPr>
          <w:p>
            <w:pPr>
              <w:ind w:left="540"/>
              <w:spacing w:after="0"/>
              <w:rPr>
                <w:sz w:val="20"/>
                <w:szCs w:val="20"/>
                <w:color w:val="auto"/>
              </w:rPr>
            </w:pPr>
            <w:r>
              <w:rPr>
                <w:rFonts w:ascii="Arial" w:cs="Arial" w:eastAsia="Arial" w:hAnsi="Arial"/>
                <w:sz w:val="20"/>
                <w:szCs w:val="20"/>
                <w:color w:val="auto"/>
              </w:rPr>
              <w:t>WACC</w:t>
            </w:r>
          </w:p>
        </w:tc>
        <w:tc>
          <w:tcPr>
            <w:tcW w:w="3300" w:type="dxa"/>
            <w:vAlign w:val="bottom"/>
            <w:gridSpan w:val="2"/>
          </w:tcPr>
          <w:p>
            <w:pPr>
              <w:ind w:left="100"/>
              <w:spacing w:after="0"/>
              <w:rPr>
                <w:sz w:val="20"/>
                <w:szCs w:val="20"/>
                <w:color w:val="auto"/>
              </w:rPr>
            </w:pPr>
            <w:r>
              <w:rPr>
                <w:rFonts w:ascii="Arial" w:cs="Arial" w:eastAsia="Arial" w:hAnsi="Arial"/>
                <w:sz w:val="20"/>
                <w:szCs w:val="20"/>
                <w:color w:val="auto"/>
                <w:w w:val="98"/>
              </w:rPr>
              <w:t>–  Weighted Average Cost of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693420</wp:posOffset>
            </wp:positionV>
            <wp:extent cx="60972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9727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336550</wp:posOffset>
            </wp:positionV>
            <wp:extent cx="6114415" cy="144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14414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795655</wp:posOffset>
            </wp:positionV>
            <wp:extent cx="314325" cy="3143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-783590</wp:posOffset>
            </wp:positionV>
            <wp:extent cx="93345" cy="850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345"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259"/>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Mary T. Barra</w:t>
            </w:r>
          </w:p>
        </w:tc>
        <w:tc>
          <w:tcPr>
            <w:tcW w:w="7160" w:type="dxa"/>
            <w:vAlign w:val="bottom"/>
          </w:tcPr>
          <w:p>
            <w:pPr>
              <w:ind w:left="460"/>
              <w:spacing w:after="0"/>
              <w:rPr>
                <w:sz w:val="20"/>
                <w:szCs w:val="20"/>
                <w:color w:val="auto"/>
              </w:rPr>
            </w:pPr>
            <w:r>
              <w:rPr>
                <w:rFonts w:ascii="Arial" w:cs="Arial" w:eastAsia="Arial" w:hAnsi="Arial"/>
                <w:sz w:val="20"/>
                <w:szCs w:val="20"/>
                <w:color w:val="auto"/>
              </w:rPr>
              <w:t>Chairman and Chief Executive Officer</w:t>
            </w:r>
          </w:p>
        </w:tc>
      </w:tr>
      <w:tr>
        <w:trPr>
          <w:trHeight w:val="196"/>
        </w:trPr>
        <w:tc>
          <w:tcPr>
            <w:tcW w:w="244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r>
      <w:tr>
        <w:trPr>
          <w:trHeight w:val="533"/>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Dhivya Suryadevara</w:t>
            </w:r>
          </w:p>
        </w:tc>
        <w:tc>
          <w:tcPr>
            <w:tcW w:w="7160" w:type="dxa"/>
            <w:vAlign w:val="bottom"/>
          </w:tcPr>
          <w:p>
            <w:pPr>
              <w:ind w:left="460"/>
              <w:spacing w:after="0"/>
              <w:rPr>
                <w:sz w:val="20"/>
                <w:szCs w:val="20"/>
                <w:color w:val="auto"/>
              </w:rPr>
            </w:pPr>
            <w:r>
              <w:rPr>
                <w:rFonts w:ascii="Arial" w:cs="Arial" w:eastAsia="Arial" w:hAnsi="Arial"/>
                <w:sz w:val="20"/>
                <w:szCs w:val="20"/>
                <w:color w:val="auto"/>
              </w:rPr>
              <w:t>Executive Vice President and Chief Financial Officer</w:t>
            </w:r>
          </w:p>
        </w:tc>
      </w:tr>
      <w:tr>
        <w:trPr>
          <w:trHeight w:val="196"/>
        </w:trPr>
        <w:tc>
          <w:tcPr>
            <w:tcW w:w="244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r>
      <w:tr>
        <w:trPr>
          <w:trHeight w:val="533"/>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Mark L. Reuss</w:t>
            </w:r>
          </w:p>
        </w:tc>
        <w:tc>
          <w:tcPr>
            <w:tcW w:w="7160" w:type="dxa"/>
            <w:vAlign w:val="bottom"/>
          </w:tcPr>
          <w:p>
            <w:pPr>
              <w:ind w:left="460"/>
              <w:spacing w:after="0"/>
              <w:rPr>
                <w:sz w:val="20"/>
                <w:szCs w:val="20"/>
                <w:color w:val="auto"/>
              </w:rPr>
            </w:pPr>
            <w:r>
              <w:rPr>
                <w:rFonts w:ascii="Arial" w:cs="Arial" w:eastAsia="Arial" w:hAnsi="Arial"/>
                <w:sz w:val="20"/>
                <w:szCs w:val="20"/>
                <w:color w:val="auto"/>
              </w:rPr>
              <w:t>President</w:t>
            </w:r>
          </w:p>
        </w:tc>
      </w:tr>
      <w:tr>
        <w:trPr>
          <w:trHeight w:val="196"/>
        </w:trPr>
        <w:tc>
          <w:tcPr>
            <w:tcW w:w="244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r>
      <w:tr>
        <w:trPr>
          <w:trHeight w:val="533"/>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Barry L. Engle II</w:t>
            </w:r>
          </w:p>
        </w:tc>
        <w:tc>
          <w:tcPr>
            <w:tcW w:w="7160" w:type="dxa"/>
            <w:vAlign w:val="bottom"/>
          </w:tcPr>
          <w:p>
            <w:pPr>
              <w:ind w:left="460"/>
              <w:spacing w:after="0"/>
              <w:rPr>
                <w:sz w:val="20"/>
                <w:szCs w:val="20"/>
                <w:color w:val="auto"/>
              </w:rPr>
            </w:pPr>
            <w:r>
              <w:rPr>
                <w:rFonts w:ascii="Arial" w:cs="Arial" w:eastAsia="Arial" w:hAnsi="Arial"/>
                <w:sz w:val="20"/>
                <w:szCs w:val="20"/>
                <w:color w:val="auto"/>
              </w:rPr>
              <w:t>Executive Vice President and President, North America</w:t>
            </w:r>
          </w:p>
        </w:tc>
      </w:tr>
      <w:tr>
        <w:trPr>
          <w:trHeight w:val="196"/>
        </w:trPr>
        <w:tc>
          <w:tcPr>
            <w:tcW w:w="244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r>
      <w:tr>
        <w:trPr>
          <w:trHeight w:val="533"/>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Craig B. Glidden</w:t>
            </w:r>
          </w:p>
        </w:tc>
        <w:tc>
          <w:tcPr>
            <w:tcW w:w="7160" w:type="dxa"/>
            <w:vAlign w:val="bottom"/>
          </w:tcPr>
          <w:p>
            <w:pPr>
              <w:ind w:left="460"/>
              <w:spacing w:after="0"/>
              <w:rPr>
                <w:sz w:val="20"/>
                <w:szCs w:val="20"/>
                <w:color w:val="auto"/>
              </w:rPr>
            </w:pPr>
            <w:r>
              <w:rPr>
                <w:rFonts w:ascii="Arial" w:cs="Arial" w:eastAsia="Arial" w:hAnsi="Arial"/>
                <w:sz w:val="20"/>
                <w:szCs w:val="20"/>
                <w:color w:val="auto"/>
              </w:rPr>
              <w:t>Executive Vice President and General Counsel</w:t>
            </w:r>
          </w:p>
        </w:tc>
      </w:tr>
      <w:tr>
        <w:trPr>
          <w:trHeight w:val="196"/>
        </w:trPr>
        <w:tc>
          <w:tcPr>
            <w:tcW w:w="244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r>
      <w:tr>
        <w:trPr>
          <w:trHeight w:val="533"/>
        </w:trPr>
        <w:tc>
          <w:tcPr>
            <w:tcW w:w="2440" w:type="dxa"/>
            <w:vAlign w:val="bottom"/>
          </w:tcPr>
          <w:p>
            <w:pPr>
              <w:ind w:left="100"/>
              <w:spacing w:after="0"/>
              <w:rPr>
                <w:sz w:val="20"/>
                <w:szCs w:val="20"/>
                <w:color w:val="auto"/>
              </w:rPr>
            </w:pPr>
            <w:r>
              <w:rPr>
                <w:rFonts w:ascii="Arial" w:cs="Arial" w:eastAsia="Arial" w:hAnsi="Arial"/>
                <w:sz w:val="20"/>
                <w:szCs w:val="20"/>
                <w:b w:val="1"/>
                <w:bCs w:val="1"/>
                <w:color w:val="0033A0"/>
              </w:rPr>
              <w:t>Alan S. Batey</w:t>
            </w:r>
          </w:p>
        </w:tc>
        <w:tc>
          <w:tcPr>
            <w:tcW w:w="7160" w:type="dxa"/>
            <w:vAlign w:val="bottom"/>
          </w:tcPr>
          <w:p>
            <w:pPr>
              <w:ind w:left="460"/>
              <w:spacing w:after="0"/>
              <w:rPr>
                <w:sz w:val="20"/>
                <w:szCs w:val="20"/>
                <w:color w:val="auto"/>
              </w:rPr>
            </w:pPr>
            <w:r>
              <w:rPr>
                <w:rFonts w:ascii="Arial" w:cs="Arial" w:eastAsia="Arial" w:hAnsi="Arial"/>
                <w:sz w:val="20"/>
                <w:szCs w:val="20"/>
                <w:color w:val="auto"/>
                <w:w w:val="99"/>
              </w:rPr>
              <w:t>Advisor and Former Executive Vice President and President, North America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124460</wp:posOffset>
            </wp:positionV>
            <wp:extent cx="60972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97270" cy="825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-2150745</wp:posOffset>
            </wp:positionV>
            <wp:extent cx="314325" cy="3143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-1675130</wp:posOffset>
            </wp:positionV>
            <wp:extent cx="314325" cy="3143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-1199515</wp:posOffset>
            </wp:positionV>
            <wp:extent cx="314325" cy="3143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-723900</wp:posOffset>
            </wp:positionV>
            <wp:extent cx="314325" cy="3143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-248285</wp:posOffset>
            </wp:positionV>
            <wp:extent cx="314325" cy="3143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4325" cy="314325"/>
                    </a:xfrm>
                    <a:prstGeom prst="rect">
                      <a:avLst/>
                    </a:prstGeom>
                    <a:noFill/>
                  </pic:spPr>
                </pic:pic>
              </a:graphicData>
            </a:graphic>
          </wp:anchor>
        </w:drawing>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Positions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793865" cy="101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37</w:t>
      </w:r>
    </w:p>
    <w:p>
      <w:pPr>
        <w:sectPr>
          <w:pgSz w:w="11900" w:h="16838" w:orient="portrait"/>
          <w:cols w:equalWidth="0" w:num="1">
            <w:col w:w="11100"/>
          </w:cols>
          <w:pgMar w:left="320" w:top="456" w:right="479" w:bottom="882"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8666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38010" cy="866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31"/>
          <w:szCs w:val="31"/>
          <w:color w:val="00A1DF"/>
        </w:rPr>
        <w:t>Compensation Overview</w:t>
      </w:r>
    </w:p>
    <w:p>
      <w:pPr>
        <w:spacing w:after="0" w:line="155" w:lineRule="exact"/>
        <w:rPr>
          <w:sz w:val="20"/>
          <w:szCs w:val="20"/>
          <w:color w:val="auto"/>
        </w:rPr>
      </w:pPr>
    </w:p>
    <w:p>
      <w:pPr>
        <w:ind w:left="940" w:hanging="532"/>
        <w:spacing w:after="0"/>
        <w:tabs>
          <w:tab w:leader="none" w:pos="940" w:val="left"/>
        </w:tabs>
        <w:numPr>
          <w:ilvl w:val="0"/>
          <w:numId w:val="42"/>
        </w:numPr>
        <w:rPr>
          <w:rFonts w:ascii="Arial" w:cs="Arial" w:eastAsia="Arial" w:hAnsi="Arial"/>
          <w:sz w:val="25"/>
          <w:szCs w:val="25"/>
          <w:color w:val="0033A0"/>
        </w:rPr>
      </w:pPr>
      <w:r>
        <w:rPr>
          <w:rFonts w:ascii="Arial" w:cs="Arial" w:eastAsia="Arial" w:hAnsi="Arial"/>
          <w:sz w:val="25"/>
          <w:szCs w:val="25"/>
          <w:color w:val="auto"/>
        </w:rPr>
        <w:t>Our Company Performance</w:t>
      </w:r>
    </w:p>
    <w:p>
      <w:pPr>
        <w:spacing w:after="0" w:line="125" w:lineRule="exact"/>
        <w:rPr>
          <w:sz w:val="20"/>
          <w:szCs w:val="20"/>
          <w:color w:val="auto"/>
        </w:rPr>
      </w:pPr>
    </w:p>
    <w:p>
      <w:pPr>
        <w:jc w:val="both"/>
        <w:ind w:left="520" w:right="200"/>
        <w:spacing w:after="0" w:line="239" w:lineRule="auto"/>
        <w:rPr>
          <w:sz w:val="20"/>
          <w:szCs w:val="20"/>
          <w:color w:val="auto"/>
        </w:rPr>
      </w:pPr>
      <w:r>
        <w:rPr>
          <w:rFonts w:ascii="Arial" w:cs="Arial" w:eastAsia="Arial" w:hAnsi="Arial"/>
          <w:sz w:val="20"/>
          <w:szCs w:val="20"/>
          <w:b w:val="1"/>
          <w:bCs w:val="1"/>
          <w:color w:val="auto"/>
        </w:rPr>
        <w:t>In 2019, we continued to move towards a world with zero crashes, zero emissions, and zero congestion. The results below demonstrate how we continue to strengthen the core automotive business, invest in future products, and define the future of personal mobility.</w:t>
      </w:r>
    </w:p>
    <w:p>
      <w:pPr>
        <w:sectPr>
          <w:pgSz w:w="11900" w:h="16838" w:orient="portrait"/>
          <w:cols w:equalWidth="0" w:num="1">
            <w:col w:w="10920"/>
          </w:cols>
          <w:pgMar w:left="320" w:top="456" w:right="659" w:bottom="9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0"/>
        <w:spacing w:after="0" w:line="265" w:lineRule="auto"/>
        <w:rPr>
          <w:sz w:val="20"/>
          <w:szCs w:val="20"/>
          <w:color w:val="auto"/>
        </w:rPr>
      </w:pPr>
      <w:r>
        <w:rPr>
          <w:rFonts w:ascii="Arial" w:cs="Arial" w:eastAsia="Arial" w:hAnsi="Arial"/>
          <w:sz w:val="18"/>
          <w:szCs w:val="18"/>
          <w:color w:val="auto"/>
        </w:rPr>
        <w:t xml:space="preserve">Strong underlying business performance of </w:t>
      </w:r>
      <w:r>
        <w:rPr>
          <w:rFonts w:ascii="Arial" w:cs="Arial" w:eastAsia="Arial" w:hAnsi="Arial"/>
          <w:sz w:val="18"/>
          <w:szCs w:val="18"/>
          <w:b w:val="1"/>
          <w:bCs w:val="1"/>
          <w:color w:val="auto"/>
        </w:rPr>
        <w:t>$137.2 billion</w:t>
      </w:r>
      <w:r>
        <w:rPr>
          <w:rFonts w:ascii="Arial" w:cs="Arial" w:eastAsia="Arial" w:hAnsi="Arial"/>
          <w:sz w:val="18"/>
          <w:szCs w:val="18"/>
          <w:color w:val="auto"/>
        </w:rPr>
        <w:t xml:space="preserve"> in revenue and </w:t>
      </w:r>
      <w:r>
        <w:rPr>
          <w:rFonts w:ascii="Arial" w:cs="Arial" w:eastAsia="Arial" w:hAnsi="Arial"/>
          <w:sz w:val="18"/>
          <w:szCs w:val="18"/>
          <w:b w:val="1"/>
          <w:bCs w:val="1"/>
          <w:color w:val="auto"/>
        </w:rPr>
        <w:t>$2.2 billion</w:t>
      </w:r>
      <w:r>
        <w:rPr>
          <w:rFonts w:ascii="Arial" w:cs="Arial" w:eastAsia="Arial" w:hAnsi="Arial"/>
          <w:sz w:val="18"/>
          <w:szCs w:val="18"/>
          <w:color w:val="auto"/>
        </w:rPr>
        <w:t xml:space="preserve"> returned to shareholders through dividends, while launching and refreshing 27 vehicles globally</w:t>
      </w:r>
    </w:p>
    <w:p>
      <w:pPr>
        <w:spacing w:after="0" w:line="220" w:lineRule="exact"/>
        <w:rPr>
          <w:sz w:val="20"/>
          <w:szCs w:val="20"/>
          <w:color w:val="auto"/>
        </w:rPr>
      </w:pPr>
    </w:p>
    <w:p>
      <w:pPr>
        <w:ind w:left="1060"/>
        <w:spacing w:after="0" w:line="239" w:lineRule="auto"/>
        <w:rPr>
          <w:sz w:val="20"/>
          <w:szCs w:val="20"/>
          <w:color w:val="auto"/>
        </w:rPr>
      </w:pPr>
      <w:r>
        <w:rPr>
          <w:rFonts w:ascii="Arial" w:cs="Arial" w:eastAsia="Arial" w:hAnsi="Arial"/>
          <w:sz w:val="18"/>
          <w:szCs w:val="18"/>
          <w:color w:val="auto"/>
        </w:rPr>
        <w:t>Sold more full-size and mid-size trucks combined in the U.S. than any other competitor every year for the past six years</w:t>
      </w:r>
    </w:p>
    <w:p>
      <w:pPr>
        <w:spacing w:after="0" w:line="221" w:lineRule="exact"/>
        <w:rPr>
          <w:sz w:val="20"/>
          <w:szCs w:val="20"/>
          <w:color w:val="auto"/>
        </w:rPr>
      </w:pPr>
    </w:p>
    <w:p>
      <w:pPr>
        <w:ind w:left="1060"/>
        <w:spacing w:after="0" w:line="265" w:lineRule="auto"/>
        <w:rPr>
          <w:sz w:val="20"/>
          <w:szCs w:val="20"/>
          <w:color w:val="auto"/>
        </w:rPr>
      </w:pPr>
      <w:r>
        <w:rPr>
          <w:rFonts w:ascii="Arial" w:cs="Arial" w:eastAsia="Arial" w:hAnsi="Arial"/>
          <w:sz w:val="18"/>
          <w:szCs w:val="18"/>
          <w:color w:val="auto"/>
        </w:rPr>
        <w:t xml:space="preserve">Delivered record average transaction prices in the U.S. of </w:t>
      </w:r>
      <w:r>
        <w:rPr>
          <w:rFonts w:ascii="Arial" w:cs="Arial" w:eastAsia="Arial" w:hAnsi="Arial"/>
          <w:sz w:val="18"/>
          <w:szCs w:val="18"/>
          <w:b w:val="1"/>
          <w:bCs w:val="1"/>
          <w:color w:val="auto"/>
        </w:rPr>
        <w:t>$36,844</w:t>
      </w:r>
      <w:r>
        <w:rPr>
          <w:rFonts w:ascii="Arial" w:cs="Arial" w:eastAsia="Arial" w:hAnsi="Arial"/>
          <w:sz w:val="18"/>
          <w:szCs w:val="18"/>
          <w:color w:val="auto"/>
        </w:rPr>
        <w:t xml:space="preserve"> for 2019, above the industry average</w:t>
      </w:r>
    </w:p>
    <w:p>
      <w:pPr>
        <w:spacing w:after="0" w:line="198" w:lineRule="exact"/>
        <w:rPr>
          <w:sz w:val="20"/>
          <w:szCs w:val="20"/>
          <w:color w:val="auto"/>
        </w:rPr>
      </w:pPr>
    </w:p>
    <w:p>
      <w:pPr>
        <w:ind w:left="1060"/>
        <w:spacing w:after="0" w:line="265" w:lineRule="auto"/>
        <w:rPr>
          <w:sz w:val="20"/>
          <w:szCs w:val="20"/>
          <w:color w:val="auto"/>
        </w:rPr>
      </w:pPr>
      <w:r>
        <w:rPr>
          <w:rFonts w:ascii="Arial" w:cs="Arial" w:eastAsia="Arial" w:hAnsi="Arial"/>
          <w:sz w:val="18"/>
          <w:szCs w:val="18"/>
          <w:color w:val="auto"/>
        </w:rPr>
        <w:t xml:space="preserve">GM Financial generated record-breaking earnings before tax of </w:t>
      </w:r>
      <w:r>
        <w:rPr>
          <w:rFonts w:ascii="Arial" w:cs="Arial" w:eastAsia="Arial" w:hAnsi="Arial"/>
          <w:sz w:val="18"/>
          <w:szCs w:val="18"/>
          <w:b w:val="1"/>
          <w:bCs w:val="1"/>
          <w:color w:val="auto"/>
        </w:rPr>
        <w:t>$2.1 billion</w:t>
      </w:r>
      <w:r>
        <w:rPr>
          <w:rFonts w:ascii="Arial" w:cs="Arial" w:eastAsia="Arial" w:hAnsi="Arial"/>
          <w:sz w:val="18"/>
          <w:szCs w:val="18"/>
          <w:color w:val="auto"/>
        </w:rPr>
        <w:t xml:space="preserve"> and paid </w:t>
      </w:r>
      <w:r>
        <w:rPr>
          <w:rFonts w:ascii="Arial" w:cs="Arial" w:eastAsia="Arial" w:hAnsi="Arial"/>
          <w:sz w:val="18"/>
          <w:szCs w:val="18"/>
          <w:b w:val="1"/>
          <w:bCs w:val="1"/>
          <w:color w:val="auto"/>
        </w:rPr>
        <w:t xml:space="preserve">$400 million </w:t>
      </w:r>
      <w:r>
        <w:rPr>
          <w:rFonts w:ascii="Arial" w:cs="Arial" w:eastAsia="Arial" w:hAnsi="Arial"/>
          <w:sz w:val="18"/>
          <w:szCs w:val="18"/>
          <w:color w:val="auto"/>
        </w:rPr>
        <w:t>in dividends to GM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We ended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33A0"/>
        </w:rPr>
        <w:t>with the following</w:t>
      </w:r>
    </w:p>
    <w:p>
      <w:pPr>
        <w:spacing w:after="0"/>
        <w:rPr>
          <w:sz w:val="20"/>
          <w:szCs w:val="20"/>
          <w:color w:val="auto"/>
        </w:rPr>
      </w:pPr>
      <w:r>
        <w:rPr>
          <w:rFonts w:ascii="Arial" w:cs="Arial" w:eastAsia="Arial" w:hAnsi="Arial"/>
          <w:sz w:val="17"/>
          <w:szCs w:val="17"/>
          <w:b w:val="1"/>
          <w:bCs w:val="1"/>
          <w:color w:val="0033A0"/>
        </w:rPr>
        <w:t>key financial results</w:t>
      </w:r>
      <w:r>
        <w:rPr>
          <w:rFonts w:ascii="Arial" w:cs="Arial" w:eastAsia="Arial" w:hAnsi="Arial"/>
          <w:sz w:val="14"/>
          <w:szCs w:val="14"/>
          <w:b w:val="1"/>
          <w:bCs w:val="1"/>
          <w:color w:val="0033A0"/>
        </w:rPr>
        <w:t>(1)</w:t>
      </w:r>
      <w:r>
        <w:rPr>
          <w:rFonts w:ascii="Arial" w:cs="Arial" w:eastAsia="Arial" w:hAnsi="Arial"/>
          <w:sz w:val="17"/>
          <w:szCs w:val="17"/>
          <w:b w:val="1"/>
          <w:bCs w:val="1"/>
          <w:color w:val="0033A0"/>
        </w:rPr>
        <w:t>:</w:t>
      </w:r>
    </w:p>
    <w:p>
      <w:pPr>
        <w:spacing w:after="0" w:line="2124" w:lineRule="exact"/>
        <w:rPr>
          <w:sz w:val="20"/>
          <w:szCs w:val="20"/>
          <w:color w:val="auto"/>
        </w:rPr>
      </w:pPr>
    </w:p>
    <w:p>
      <w:pPr>
        <w:sectPr>
          <w:pgSz w:w="11900" w:h="16838" w:orient="portrait"/>
          <w:cols w:equalWidth="0" w:num="2">
            <w:col w:w="8640" w:space="340"/>
            <w:col w:w="1940"/>
          </w:cols>
          <w:pgMar w:left="320" w:top="456" w:right="659" w:bottom="936" w:gutter="0" w:footer="0" w:header="0"/>
          <w:type w:val="continuous"/>
        </w:sectPr>
      </w:pPr>
    </w:p>
    <w:p>
      <w:pPr>
        <w:spacing w:after="0" w:line="20"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Unveiled all-new full-size SUVs including the 2021 Chevrolet Tahoe and Suburban, 2021 GMC Yukon and Yukon XL, and 2021 Cadillac Escalade</w:t>
      </w:r>
    </w:p>
    <w:p>
      <w:pPr>
        <w:spacing w:after="0" w:line="243"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Introduced the first-ever mid-engine Corvette earning 2020 North American Car of the Year and Motor Trend Car of the Year</w:t>
      </w:r>
    </w:p>
    <w:p>
      <w:pPr>
        <w:spacing w:after="0" w:line="288" w:lineRule="exact"/>
        <w:rPr>
          <w:sz w:val="20"/>
          <w:szCs w:val="20"/>
          <w:color w:val="auto"/>
        </w:rPr>
      </w:pPr>
    </w:p>
    <w:p>
      <w:pPr>
        <w:jc w:val="both"/>
        <w:ind w:left="1060"/>
        <w:spacing w:after="0" w:line="265" w:lineRule="auto"/>
        <w:rPr>
          <w:sz w:val="20"/>
          <w:szCs w:val="20"/>
          <w:color w:val="auto"/>
        </w:rPr>
      </w:pPr>
      <w:r>
        <w:rPr>
          <w:rFonts w:ascii="Arial" w:cs="Arial" w:eastAsia="Arial" w:hAnsi="Arial"/>
          <w:sz w:val="18"/>
          <w:szCs w:val="18"/>
          <w:color w:val="auto"/>
        </w:rPr>
        <w:t xml:space="preserve">Sold more than </w:t>
      </w:r>
      <w:r>
        <w:rPr>
          <w:rFonts w:ascii="Arial" w:cs="Arial" w:eastAsia="Arial" w:hAnsi="Arial"/>
          <w:sz w:val="18"/>
          <w:szCs w:val="18"/>
          <w:b w:val="1"/>
          <w:bCs w:val="1"/>
          <w:color w:val="auto"/>
        </w:rPr>
        <w:t>1 million</w:t>
      </w:r>
      <w:r>
        <w:rPr>
          <w:rFonts w:ascii="Arial" w:cs="Arial" w:eastAsia="Arial" w:hAnsi="Arial"/>
          <w:sz w:val="18"/>
          <w:szCs w:val="18"/>
          <w:color w:val="auto"/>
        </w:rPr>
        <w:t xml:space="preserve"> crossovers for the second year in a row in the U.S., a 12.7% increase from 2018</w:t>
      </w:r>
    </w:p>
    <w:p>
      <w:pPr>
        <w:spacing w:after="0" w:line="220"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Achieved best-ever sales in 2019 for the Chevrolet Traverse, and GM’s best-selling crossover, the Chevrolet Equinox</w:t>
      </w:r>
    </w:p>
    <w:p>
      <w:pPr>
        <w:spacing w:after="0" w:line="24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Unveiled the 2020 Buick Encore GX, expanding the brand’s premium SUV family</w:t>
      </w:r>
    </w:p>
    <w:p>
      <w:pPr>
        <w:spacing w:after="0" w:line="373" w:lineRule="exact"/>
        <w:rPr>
          <w:sz w:val="20"/>
          <w:szCs w:val="20"/>
          <w:color w:val="auto"/>
        </w:rPr>
      </w:pPr>
    </w:p>
    <w:p>
      <w:pPr>
        <w:jc w:val="both"/>
        <w:ind w:left="1060"/>
        <w:spacing w:after="0" w:line="265" w:lineRule="auto"/>
        <w:rPr>
          <w:sz w:val="20"/>
          <w:szCs w:val="20"/>
          <w:color w:val="auto"/>
        </w:rPr>
      </w:pPr>
      <w:r>
        <w:rPr>
          <w:rFonts w:ascii="Arial" w:cs="Arial" w:eastAsia="Arial" w:hAnsi="Arial"/>
          <w:sz w:val="18"/>
          <w:szCs w:val="18"/>
          <w:color w:val="auto"/>
        </w:rPr>
        <w:t xml:space="preserve">Best GMC Denali year ever, with </w:t>
      </w:r>
      <w:r>
        <w:rPr>
          <w:rFonts w:ascii="Arial" w:cs="Arial" w:eastAsia="Arial" w:hAnsi="Arial"/>
          <w:sz w:val="18"/>
          <w:szCs w:val="18"/>
          <w:b w:val="1"/>
          <w:bCs w:val="1"/>
          <w:color w:val="auto"/>
        </w:rPr>
        <w:t>30%</w:t>
      </w:r>
      <w:r>
        <w:rPr>
          <w:rFonts w:ascii="Arial" w:cs="Arial" w:eastAsia="Arial" w:hAnsi="Arial"/>
          <w:sz w:val="18"/>
          <w:szCs w:val="18"/>
          <w:color w:val="auto"/>
        </w:rPr>
        <w:t xml:space="preserve"> penetration rate. GMC is completing its pioneering move into the premium off-road space by making AT4 available across its entire retail lineup in 2020</w:t>
      </w:r>
    </w:p>
    <w:p>
      <w:pPr>
        <w:spacing w:after="0" w:line="220"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Achieved best-ever global sales in Cadillac’s 113-year history, led by its crossover portfolio including the XT4, XT5, and all-new XT6</w:t>
      </w:r>
    </w:p>
    <w:p>
      <w:pPr>
        <w:spacing w:after="0" w:line="25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Unveiled new fleet telematics solution, OnStar Vehicle Insights </w:t>
      </w:r>
      <w:r>
        <w:rPr>
          <w:sz w:val="1"/>
          <w:szCs w:val="1"/>
          <w:color w:val="auto"/>
        </w:rPr>
        <w:drawing>
          <wp:inline distT="0" distB="0" distL="0" distR="0">
            <wp:extent cx="93345" cy="8509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319" w:lineRule="exact"/>
        <w:rPr>
          <w:sz w:val="20"/>
          <w:szCs w:val="20"/>
          <w:color w:val="auto"/>
        </w:rPr>
      </w:pPr>
    </w:p>
    <w:p>
      <w:pPr>
        <w:jc w:val="both"/>
        <w:ind w:left="1060"/>
        <w:spacing w:after="0" w:line="249" w:lineRule="auto"/>
        <w:rPr>
          <w:sz w:val="20"/>
          <w:szCs w:val="20"/>
          <w:color w:val="auto"/>
        </w:rPr>
      </w:pPr>
      <w:r>
        <w:rPr>
          <w:rFonts w:ascii="Arial" w:cs="Arial" w:eastAsia="Arial" w:hAnsi="Arial"/>
          <w:sz w:val="18"/>
          <w:szCs w:val="18"/>
          <w:color w:val="auto"/>
        </w:rPr>
        <w:t xml:space="preserve">Secured additional investment of </w:t>
      </w:r>
      <w:r>
        <w:rPr>
          <w:rFonts w:ascii="Arial" w:cs="Arial" w:eastAsia="Arial" w:hAnsi="Arial"/>
          <w:sz w:val="18"/>
          <w:szCs w:val="18"/>
          <w:b w:val="1"/>
          <w:bCs w:val="1"/>
          <w:color w:val="auto"/>
        </w:rPr>
        <w:t>$1.15 billion</w:t>
      </w:r>
      <w:r>
        <w:rPr>
          <w:rFonts w:ascii="Arial" w:cs="Arial" w:eastAsia="Arial" w:hAnsi="Arial"/>
          <w:sz w:val="18"/>
          <w:szCs w:val="18"/>
          <w:color w:val="auto"/>
        </w:rPr>
        <w:t xml:space="preserve"> from a group comprised of institutional investors, including funds and accounts advised by T. Rowe Price Associates, Inc., and existing partners GM, SoftBank Vision Fund, and Honda, valuing the company at </w:t>
      </w:r>
      <w:r>
        <w:rPr>
          <w:rFonts w:ascii="Arial" w:cs="Arial" w:eastAsia="Arial" w:hAnsi="Arial"/>
          <w:sz w:val="18"/>
          <w:szCs w:val="18"/>
          <w:b w:val="1"/>
          <w:bCs w:val="1"/>
          <w:color w:val="auto"/>
        </w:rPr>
        <w:t>$19 billion</w:t>
      </w:r>
    </w:p>
    <w:p>
      <w:pPr>
        <w:spacing w:after="0" w:line="234"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 xml:space="preserve">Enabled access to numerous charging ports through collaborations with EVgo, ChargePoint, and Greenlots, the largest collective EV charging network in the U.S. </w:t>
      </w:r>
      <w:r>
        <w:rPr>
          <w:sz w:val="1"/>
          <w:szCs w:val="1"/>
          <w:color w:val="auto"/>
        </w:rPr>
        <w:drawing>
          <wp:inline distT="0" distB="0" distL="0" distR="0">
            <wp:extent cx="93345" cy="8509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43"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 xml:space="preserve">Announced joint venture with LG Chem to build a plant to mass-produce battery cells for an all-electric future </w:t>
      </w:r>
      <w:r>
        <w:rPr>
          <w:sz w:val="1"/>
          <w:szCs w:val="1"/>
          <w:color w:val="auto"/>
        </w:rPr>
        <w:drawing>
          <wp:inline distT="0" distB="0" distL="0" distR="0">
            <wp:extent cx="93345" cy="8509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43" w:lineRule="exact"/>
        <w:rPr>
          <w:sz w:val="20"/>
          <w:szCs w:val="20"/>
          <w:color w:val="auto"/>
        </w:rPr>
      </w:pPr>
    </w:p>
    <w:p>
      <w:pPr>
        <w:jc w:val="both"/>
        <w:ind w:left="1060"/>
        <w:spacing w:after="0" w:line="239" w:lineRule="auto"/>
        <w:rPr>
          <w:sz w:val="20"/>
          <w:szCs w:val="20"/>
          <w:color w:val="auto"/>
        </w:rPr>
      </w:pPr>
      <w:r>
        <w:rPr>
          <w:rFonts w:ascii="Arial" w:cs="Arial" w:eastAsia="Arial" w:hAnsi="Arial"/>
          <w:sz w:val="18"/>
          <w:szCs w:val="18"/>
          <w:color w:val="auto"/>
        </w:rPr>
        <w:t xml:space="preserve">Announced a collaboration with Bechtel to build a public facing EV fast-charging infrastructure in the U.S. </w:t>
      </w:r>
      <w:r>
        <w:rPr>
          <w:sz w:val="1"/>
          <w:szCs w:val="1"/>
          <w:color w:val="auto"/>
        </w:rPr>
        <w:drawing>
          <wp:inline distT="0" distB="0" distL="0" distR="0">
            <wp:extent cx="93345" cy="8509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485775</wp:posOffset>
            </wp:positionV>
            <wp:extent cx="6793865" cy="101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right="180" w:firstLine="1"/>
        <w:spacing w:after="0" w:line="246" w:lineRule="auto"/>
        <w:tabs>
          <w:tab w:leader="none" w:pos="213"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financial information relates to our continuing operations.</w:t>
      </w:r>
    </w:p>
    <w:p>
      <w:pPr>
        <w:ind w:left="-1" w:right="160" w:firstLine="1"/>
        <w:spacing w:after="0" w:line="241" w:lineRule="auto"/>
        <w:tabs>
          <w:tab w:leader="none" w:pos="213"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non-GAAP financial measures. Refer to Appendix A for a reconciliation of EBIT-adjusted, EBIT-adjusted margin, ROIC-adjusted, and EPS-diluted-adjusted to their closest comparable GAAP measure.</w:t>
      </w:r>
    </w:p>
    <w:p>
      <w:pPr>
        <w:spacing w:after="0" w:line="200" w:lineRule="exact"/>
        <w:rPr>
          <w:sz w:val="20"/>
          <w:szCs w:val="20"/>
          <w:color w:val="auto"/>
        </w:rPr>
      </w:pPr>
    </w:p>
    <w:p>
      <w:pPr>
        <w:sectPr>
          <w:pgSz w:w="11900" w:h="16838" w:orient="portrait"/>
          <w:cols w:equalWidth="0" w:num="2">
            <w:col w:w="8640" w:space="341"/>
            <w:col w:w="1939"/>
          </w:cols>
          <w:pgMar w:left="320" w:top="456" w:right="659" w:bottom="936"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38</w:t>
      </w:r>
    </w:p>
    <w:p>
      <w:pPr>
        <w:sectPr>
          <w:pgSz w:w="11900" w:h="16838" w:orient="portrait"/>
          <w:cols w:equalWidth="0" w:num="1">
            <w:col w:w="10920"/>
          </w:cols>
          <w:pgMar w:left="320" w:top="456" w:right="659" w:bottom="936"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681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38010" cy="768159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60" w:hanging="545"/>
        <w:spacing w:after="0"/>
        <w:tabs>
          <w:tab w:leader="none" w:pos="1060" w:val="left"/>
        </w:tabs>
        <w:numPr>
          <w:ilvl w:val="0"/>
          <w:numId w:val="44"/>
        </w:numPr>
        <w:rPr>
          <w:rFonts w:ascii="Arial" w:cs="Arial" w:eastAsia="Arial" w:hAnsi="Arial"/>
          <w:sz w:val="25"/>
          <w:szCs w:val="25"/>
          <w:color w:val="0033A0"/>
        </w:rPr>
      </w:pPr>
      <w:r>
        <w:rPr>
          <w:rFonts w:ascii="Arial" w:cs="Arial" w:eastAsia="Arial" w:hAnsi="Arial"/>
          <w:sz w:val="25"/>
          <w:szCs w:val="25"/>
          <w:color w:val="auto"/>
        </w:rPr>
        <w:t>Leadership Changes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Company made the following leadership changes:</w:t>
      </w:r>
    </w:p>
    <w:p>
      <w:pPr>
        <w:spacing w:after="0" w:line="94" w:lineRule="exact"/>
        <w:rPr>
          <w:sz w:val="20"/>
          <w:szCs w:val="20"/>
          <w:color w:val="auto"/>
        </w:rPr>
      </w:pPr>
    </w:p>
    <w:p>
      <w:pPr>
        <w:jc w:val="both"/>
        <w:ind w:left="520" w:right="380"/>
        <w:spacing w:after="0" w:line="254" w:lineRule="auto"/>
        <w:rPr>
          <w:sz w:val="20"/>
          <w:szCs w:val="20"/>
          <w:color w:val="auto"/>
        </w:rPr>
      </w:pPr>
      <w:r>
        <w:rPr>
          <w:rFonts w:ascii="Arial" w:cs="Arial" w:eastAsia="Arial" w:hAnsi="Arial"/>
          <w:sz w:val="20"/>
          <w:szCs w:val="20"/>
          <w:b w:val="1"/>
          <w:bCs w:val="1"/>
          <w:color w:val="0033A0"/>
        </w:rPr>
        <w:t xml:space="preserve">Mark L. Reuss </w:t>
      </w:r>
      <w:r>
        <w:rPr>
          <w:rFonts w:ascii="Arial" w:cs="Arial" w:eastAsia="Arial" w:hAnsi="Arial"/>
          <w:sz w:val="20"/>
          <w:szCs w:val="20"/>
          <w:color w:val="000000"/>
        </w:rPr>
        <w:t>– Named President on January 3, 2019. On April 1, 2019, Mr. Reuss assumed the additional</w:t>
      </w:r>
      <w:r>
        <w:rPr>
          <w:rFonts w:ascii="Arial" w:cs="Arial" w:eastAsia="Arial" w:hAnsi="Arial"/>
          <w:sz w:val="20"/>
          <w:szCs w:val="20"/>
          <w:b w:val="1"/>
          <w:bCs w:val="1"/>
          <w:color w:val="0033A0"/>
        </w:rPr>
        <w:t xml:space="preserve"> </w:t>
      </w:r>
      <w:r>
        <w:rPr>
          <w:rFonts w:ascii="Arial" w:cs="Arial" w:eastAsia="Arial" w:hAnsi="Arial"/>
          <w:sz w:val="20"/>
          <w:szCs w:val="20"/>
          <w:color w:val="000000"/>
        </w:rPr>
        <w:t>responsibility of leading all global markets.</w:t>
      </w:r>
    </w:p>
    <w:p>
      <w:pPr>
        <w:spacing w:after="0" w:line="88" w:lineRule="exact"/>
        <w:rPr>
          <w:sz w:val="20"/>
          <w:szCs w:val="20"/>
          <w:color w:val="auto"/>
        </w:rPr>
      </w:pPr>
    </w:p>
    <w:p>
      <w:pPr>
        <w:jc w:val="both"/>
        <w:ind w:left="520" w:right="380"/>
        <w:spacing w:after="0" w:line="239" w:lineRule="auto"/>
        <w:rPr>
          <w:sz w:val="20"/>
          <w:szCs w:val="20"/>
          <w:color w:val="auto"/>
        </w:rPr>
      </w:pPr>
      <w:r>
        <w:rPr>
          <w:rFonts w:ascii="Arial" w:cs="Arial" w:eastAsia="Arial" w:hAnsi="Arial"/>
          <w:sz w:val="20"/>
          <w:szCs w:val="20"/>
          <w:b w:val="1"/>
          <w:bCs w:val="1"/>
          <w:color w:val="0033A0"/>
        </w:rPr>
        <w:t xml:space="preserve">Barry L. Engle II </w:t>
      </w:r>
      <w:r>
        <w:rPr>
          <w:rFonts w:ascii="Arial" w:cs="Arial" w:eastAsia="Arial" w:hAnsi="Arial"/>
          <w:sz w:val="20"/>
          <w:szCs w:val="20"/>
          <w:color w:val="000000"/>
        </w:rPr>
        <w:t>– Named Executive Vice President and President, The Americas, on April 1, 2019, and</w:t>
      </w:r>
      <w:r>
        <w:rPr>
          <w:rFonts w:ascii="Arial" w:cs="Arial" w:eastAsia="Arial" w:hAnsi="Arial"/>
          <w:sz w:val="20"/>
          <w:szCs w:val="20"/>
          <w:b w:val="1"/>
          <w:bCs w:val="1"/>
          <w:color w:val="0033A0"/>
        </w:rPr>
        <w:t xml:space="preserve"> </w:t>
      </w:r>
      <w:r>
        <w:rPr>
          <w:rFonts w:ascii="Arial" w:cs="Arial" w:eastAsia="Arial" w:hAnsi="Arial"/>
          <w:sz w:val="20"/>
          <w:szCs w:val="20"/>
          <w:color w:val="000000"/>
        </w:rPr>
        <w:t>subsequently named Executive Vice President and President, North America, on November 1, 2019, to focus solely on the North American market and key vehicle launches.</w:t>
      </w:r>
    </w:p>
    <w:p>
      <w:pPr>
        <w:spacing w:after="0" w:line="102" w:lineRule="exact"/>
        <w:rPr>
          <w:sz w:val="20"/>
          <w:szCs w:val="20"/>
          <w:color w:val="auto"/>
        </w:rPr>
      </w:pPr>
    </w:p>
    <w:p>
      <w:pPr>
        <w:jc w:val="both"/>
        <w:ind w:left="520" w:right="380"/>
        <w:spacing w:after="0" w:line="254" w:lineRule="auto"/>
        <w:rPr>
          <w:sz w:val="20"/>
          <w:szCs w:val="20"/>
          <w:color w:val="auto"/>
        </w:rPr>
      </w:pPr>
      <w:r>
        <w:rPr>
          <w:rFonts w:ascii="Arial" w:cs="Arial" w:eastAsia="Arial" w:hAnsi="Arial"/>
          <w:sz w:val="20"/>
          <w:szCs w:val="20"/>
          <w:b w:val="1"/>
          <w:bCs w:val="1"/>
          <w:color w:val="0033A0"/>
        </w:rPr>
        <w:t xml:space="preserve">Alan S. Batey </w:t>
      </w:r>
      <w:r>
        <w:rPr>
          <w:rFonts w:ascii="Arial" w:cs="Arial" w:eastAsia="Arial" w:hAnsi="Arial"/>
          <w:sz w:val="20"/>
          <w:szCs w:val="20"/>
          <w:color w:val="000000"/>
        </w:rPr>
        <w:t>– Transitioned to an advisory role effective April 1, 2019, after serving as Executive Vice President and</w:t>
      </w:r>
      <w:r>
        <w:rPr>
          <w:rFonts w:ascii="Arial" w:cs="Arial" w:eastAsia="Arial" w:hAnsi="Arial"/>
          <w:sz w:val="20"/>
          <w:szCs w:val="20"/>
          <w:b w:val="1"/>
          <w:bCs w:val="1"/>
          <w:color w:val="0033A0"/>
        </w:rPr>
        <w:t xml:space="preserve"> </w:t>
      </w:r>
      <w:r>
        <w:rPr>
          <w:rFonts w:ascii="Arial" w:cs="Arial" w:eastAsia="Arial" w:hAnsi="Arial"/>
          <w:sz w:val="20"/>
          <w:szCs w:val="20"/>
          <w:color w:val="000000"/>
        </w:rPr>
        <w:t>President, North America, since January 15, 2014; retired from the Company effective March 1, 2020.</w:t>
      </w:r>
    </w:p>
    <w:p>
      <w:pPr>
        <w:spacing w:after="0" w:line="305" w:lineRule="exact"/>
        <w:rPr>
          <w:sz w:val="20"/>
          <w:szCs w:val="20"/>
          <w:color w:val="auto"/>
        </w:rPr>
      </w:pPr>
    </w:p>
    <w:p>
      <w:pPr>
        <w:ind w:left="1060" w:hanging="545"/>
        <w:spacing w:after="0"/>
        <w:tabs>
          <w:tab w:leader="none" w:pos="1060" w:val="left"/>
        </w:tabs>
        <w:numPr>
          <w:ilvl w:val="0"/>
          <w:numId w:val="45"/>
        </w:numPr>
        <w:rPr>
          <w:rFonts w:ascii="Arial" w:cs="Arial" w:eastAsia="Arial" w:hAnsi="Arial"/>
          <w:sz w:val="25"/>
          <w:szCs w:val="25"/>
          <w:color w:val="0033A0"/>
        </w:rPr>
      </w:pPr>
      <w:r>
        <w:rPr>
          <w:rFonts w:ascii="Arial" w:cs="Arial" w:eastAsia="Arial" w:hAnsi="Arial"/>
          <w:sz w:val="25"/>
          <w:szCs w:val="25"/>
          <w:color w:val="auto"/>
        </w:rPr>
        <w:t>Compensation Governance and Best Practices</w:t>
      </w: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A1DF"/>
        </w:rPr>
        <w:t>WHAT WE DO</w:t>
      </w:r>
    </w:p>
    <w:p>
      <w:pPr>
        <w:spacing w:after="0" w:line="182" w:lineRule="exact"/>
        <w:rPr>
          <w:sz w:val="20"/>
          <w:szCs w:val="20"/>
          <w:color w:val="auto"/>
        </w:rPr>
      </w:pPr>
    </w:p>
    <w:p>
      <w:pPr>
        <w:ind w:left="940" w:hanging="233"/>
        <w:spacing w:after="0"/>
        <w:tabs>
          <w:tab w:leader="none" w:pos="940" w:val="left"/>
        </w:tabs>
        <w:numPr>
          <w:ilvl w:val="0"/>
          <w:numId w:val="46"/>
        </w:numPr>
        <w:rPr>
          <w:rFonts w:ascii="Arial" w:cs="Arial" w:eastAsia="Arial" w:hAnsi="Arial"/>
          <w:sz w:val="20"/>
          <w:szCs w:val="20"/>
          <w:b w:val="1"/>
          <w:bCs w:val="1"/>
          <w:color w:val="00A1DF"/>
        </w:rPr>
      </w:pPr>
      <w:r>
        <w:rPr>
          <w:rFonts w:ascii="Arial" w:cs="Arial" w:eastAsia="Arial" w:hAnsi="Arial"/>
          <w:sz w:val="20"/>
          <w:szCs w:val="20"/>
          <w:color w:val="auto"/>
        </w:rPr>
        <w:t>Provide short-term and long-term incentive plans with performance targets aligned to business goals</w:t>
      </w:r>
    </w:p>
    <w:p>
      <w:pPr>
        <w:spacing w:after="0" w:line="144" w:lineRule="exact"/>
        <w:rPr>
          <w:rFonts w:ascii="Arial" w:cs="Arial" w:eastAsia="Arial" w:hAnsi="Arial"/>
          <w:sz w:val="20"/>
          <w:szCs w:val="20"/>
          <w:b w:val="1"/>
          <w:bCs w:val="1"/>
          <w:color w:val="00A1DF"/>
        </w:rPr>
      </w:pPr>
    </w:p>
    <w:p>
      <w:pPr>
        <w:ind w:left="940" w:right="280" w:hanging="233"/>
        <w:spacing w:after="0" w:line="180" w:lineRule="auto"/>
        <w:tabs>
          <w:tab w:leader="none" w:pos="940" w:val="left"/>
        </w:tabs>
        <w:numPr>
          <w:ilvl w:val="0"/>
          <w:numId w:val="46"/>
        </w:numPr>
        <w:rPr>
          <w:rFonts w:ascii="Arial" w:cs="Arial" w:eastAsia="Arial" w:hAnsi="Arial"/>
          <w:sz w:val="34"/>
          <w:szCs w:val="34"/>
          <w:b w:val="1"/>
          <w:bCs w:val="1"/>
          <w:color w:val="00A1DF"/>
          <w:vertAlign w:val="subscript"/>
        </w:rPr>
      </w:pPr>
      <w:r>
        <w:rPr>
          <w:rFonts w:ascii="Arial" w:cs="Arial" w:eastAsia="Arial" w:hAnsi="Arial"/>
          <w:sz w:val="18"/>
          <w:szCs w:val="18"/>
          <w:color w:val="auto"/>
        </w:rPr>
        <w:t>Maintain a Compensation Committee composed entirely of independent directors who are advised by an independent compensation consultant</w:t>
      </w:r>
    </w:p>
    <w:p>
      <w:pPr>
        <w:spacing w:after="0" w:line="153" w:lineRule="exact"/>
        <w:rPr>
          <w:rFonts w:ascii="Arial" w:cs="Arial" w:eastAsia="Arial" w:hAnsi="Arial"/>
          <w:sz w:val="34"/>
          <w:szCs w:val="34"/>
          <w:b w:val="1"/>
          <w:bCs w:val="1"/>
          <w:color w:val="00A1DF"/>
          <w:vertAlign w:val="subscript"/>
        </w:rPr>
      </w:pPr>
    </w:p>
    <w:p>
      <w:pPr>
        <w:ind w:left="940" w:hanging="233"/>
        <w:spacing w:after="0"/>
        <w:tabs>
          <w:tab w:leader="none" w:pos="940" w:val="left"/>
        </w:tabs>
        <w:numPr>
          <w:ilvl w:val="0"/>
          <w:numId w:val="46"/>
        </w:numPr>
        <w:rPr>
          <w:rFonts w:ascii="Arial" w:cs="Arial" w:eastAsia="Arial" w:hAnsi="Arial"/>
          <w:sz w:val="20"/>
          <w:szCs w:val="20"/>
          <w:b w:val="1"/>
          <w:bCs w:val="1"/>
          <w:color w:val="00A1DF"/>
        </w:rPr>
      </w:pPr>
      <w:r>
        <w:rPr>
          <w:rFonts w:ascii="Arial" w:cs="Arial" w:eastAsia="Arial" w:hAnsi="Arial"/>
          <w:sz w:val="20"/>
          <w:szCs w:val="20"/>
          <w:color w:val="auto"/>
        </w:rPr>
        <w:t>Require stock ownership for all senior leaders</w:t>
      </w:r>
    </w:p>
    <w:p>
      <w:pPr>
        <w:spacing w:after="0" w:line="144" w:lineRule="exact"/>
        <w:rPr>
          <w:rFonts w:ascii="Arial" w:cs="Arial" w:eastAsia="Arial" w:hAnsi="Arial"/>
          <w:sz w:val="20"/>
          <w:szCs w:val="20"/>
          <w:b w:val="1"/>
          <w:bCs w:val="1"/>
          <w:color w:val="00A1DF"/>
        </w:rPr>
      </w:pPr>
    </w:p>
    <w:p>
      <w:pPr>
        <w:ind w:left="940" w:right="260" w:hanging="233"/>
        <w:spacing w:after="0" w:line="180" w:lineRule="auto"/>
        <w:tabs>
          <w:tab w:leader="none" w:pos="940" w:val="left"/>
        </w:tabs>
        <w:numPr>
          <w:ilvl w:val="0"/>
          <w:numId w:val="46"/>
        </w:numPr>
        <w:rPr>
          <w:rFonts w:ascii="Arial" w:cs="Arial" w:eastAsia="Arial" w:hAnsi="Arial"/>
          <w:sz w:val="34"/>
          <w:szCs w:val="34"/>
          <w:b w:val="1"/>
          <w:bCs w:val="1"/>
          <w:color w:val="00A1DF"/>
          <w:vertAlign w:val="subscript"/>
        </w:rPr>
      </w:pPr>
      <w:r>
        <w:rPr>
          <w:rFonts w:ascii="Arial" w:cs="Arial" w:eastAsia="Arial" w:hAnsi="Arial"/>
          <w:sz w:val="18"/>
          <w:szCs w:val="18"/>
          <w:color w:val="auto"/>
        </w:rPr>
        <w:t>Engage with shareholders and other stakeholders on various topics with members of management and directors, including our Compensation Committee and our Independent Lead Director</w:t>
      </w:r>
    </w:p>
    <w:p>
      <w:pPr>
        <w:spacing w:after="0" w:line="153" w:lineRule="exact"/>
        <w:rPr>
          <w:rFonts w:ascii="Arial" w:cs="Arial" w:eastAsia="Arial" w:hAnsi="Arial"/>
          <w:sz w:val="34"/>
          <w:szCs w:val="34"/>
          <w:b w:val="1"/>
          <w:bCs w:val="1"/>
          <w:color w:val="00A1DF"/>
          <w:vertAlign w:val="subscript"/>
        </w:rPr>
      </w:pPr>
    </w:p>
    <w:p>
      <w:pPr>
        <w:ind w:left="940" w:hanging="233"/>
        <w:spacing w:after="0"/>
        <w:tabs>
          <w:tab w:leader="none" w:pos="940" w:val="left"/>
        </w:tabs>
        <w:numPr>
          <w:ilvl w:val="0"/>
          <w:numId w:val="46"/>
        </w:numPr>
        <w:rPr>
          <w:rFonts w:ascii="Arial" w:cs="Arial" w:eastAsia="Arial" w:hAnsi="Arial"/>
          <w:sz w:val="20"/>
          <w:szCs w:val="20"/>
          <w:b w:val="1"/>
          <w:bCs w:val="1"/>
          <w:color w:val="00A1DF"/>
        </w:rPr>
      </w:pPr>
      <w:r>
        <w:rPr>
          <w:rFonts w:ascii="Arial" w:cs="Arial" w:eastAsia="Arial" w:hAnsi="Arial"/>
          <w:sz w:val="20"/>
          <w:szCs w:val="20"/>
          <w:color w:val="auto"/>
        </w:rPr>
        <w:t>Include non-compete and non-solicitation terms in all grant agreements with senior leaders</w:t>
      </w:r>
    </w:p>
    <w:p>
      <w:pPr>
        <w:spacing w:after="0" w:line="144" w:lineRule="exact"/>
        <w:rPr>
          <w:rFonts w:ascii="Arial" w:cs="Arial" w:eastAsia="Arial" w:hAnsi="Arial"/>
          <w:sz w:val="20"/>
          <w:szCs w:val="20"/>
          <w:b w:val="1"/>
          <w:bCs w:val="1"/>
          <w:color w:val="00A1DF"/>
        </w:rPr>
      </w:pPr>
    </w:p>
    <w:p>
      <w:pPr>
        <w:ind w:left="940" w:right="280" w:hanging="233"/>
        <w:spacing w:after="0" w:line="180" w:lineRule="auto"/>
        <w:tabs>
          <w:tab w:leader="none" w:pos="940" w:val="left"/>
        </w:tabs>
        <w:numPr>
          <w:ilvl w:val="0"/>
          <w:numId w:val="46"/>
        </w:numPr>
        <w:rPr>
          <w:rFonts w:ascii="Arial" w:cs="Arial" w:eastAsia="Arial" w:hAnsi="Arial"/>
          <w:sz w:val="34"/>
          <w:szCs w:val="34"/>
          <w:b w:val="1"/>
          <w:bCs w:val="1"/>
          <w:color w:val="00A1DF"/>
          <w:vertAlign w:val="subscript"/>
        </w:rPr>
      </w:pPr>
      <w:r>
        <w:rPr>
          <w:rFonts w:ascii="Arial" w:cs="Arial" w:eastAsia="Arial" w:hAnsi="Arial"/>
          <w:sz w:val="18"/>
          <w:szCs w:val="18"/>
          <w:color w:val="auto"/>
        </w:rPr>
        <w:t>Maintain an Insider Trading Policy requiring directors, executive officers, and all other senior leaders to trade only during established window periods after receiving preclearance from the GM Legal Staff</w:t>
      </w:r>
    </w:p>
    <w:p>
      <w:pPr>
        <w:spacing w:after="0" w:line="140" w:lineRule="exact"/>
        <w:rPr>
          <w:rFonts w:ascii="Arial" w:cs="Arial" w:eastAsia="Arial" w:hAnsi="Arial"/>
          <w:sz w:val="34"/>
          <w:szCs w:val="34"/>
          <w:b w:val="1"/>
          <w:bCs w:val="1"/>
          <w:color w:val="00A1DF"/>
          <w:vertAlign w:val="subscript"/>
        </w:rPr>
      </w:pPr>
    </w:p>
    <w:p>
      <w:pPr>
        <w:ind w:left="940" w:right="260" w:hanging="233"/>
        <w:spacing w:after="0"/>
        <w:tabs>
          <w:tab w:leader="none" w:pos="940" w:val="left"/>
        </w:tabs>
        <w:numPr>
          <w:ilvl w:val="0"/>
          <w:numId w:val="46"/>
        </w:numPr>
        <w:rPr>
          <w:rFonts w:ascii="Arial" w:cs="Arial" w:eastAsia="Arial" w:hAnsi="Arial"/>
          <w:sz w:val="38"/>
          <w:szCs w:val="38"/>
          <w:b w:val="1"/>
          <w:bCs w:val="1"/>
          <w:color w:val="00A1DF"/>
          <w:vertAlign w:val="subscript"/>
        </w:rPr>
      </w:pPr>
      <w:r>
        <w:rPr>
          <w:rFonts w:ascii="Arial" w:cs="Arial" w:eastAsia="Arial" w:hAnsi="Arial"/>
          <w:sz w:val="19"/>
          <w:szCs w:val="19"/>
          <w:color w:val="auto"/>
        </w:rPr>
        <w:t>Require equity awards to have double trigger (change in control and termination of employment) vesting provisions</w:t>
      </w:r>
    </w:p>
    <w:p>
      <w:pPr>
        <w:spacing w:after="0" w:line="164" w:lineRule="exact"/>
        <w:rPr>
          <w:rFonts w:ascii="Arial" w:cs="Arial" w:eastAsia="Arial" w:hAnsi="Arial"/>
          <w:sz w:val="38"/>
          <w:szCs w:val="38"/>
          <w:b w:val="1"/>
          <w:bCs w:val="1"/>
          <w:color w:val="00A1DF"/>
          <w:vertAlign w:val="subscript"/>
        </w:rPr>
      </w:pPr>
    </w:p>
    <w:p>
      <w:pPr>
        <w:ind w:left="940" w:hanging="233"/>
        <w:spacing w:after="0"/>
        <w:tabs>
          <w:tab w:leader="none" w:pos="940" w:val="left"/>
        </w:tabs>
        <w:numPr>
          <w:ilvl w:val="0"/>
          <w:numId w:val="46"/>
        </w:numPr>
        <w:rPr>
          <w:rFonts w:ascii="Arial" w:cs="Arial" w:eastAsia="Arial" w:hAnsi="Arial"/>
          <w:sz w:val="20"/>
          <w:szCs w:val="20"/>
          <w:b w:val="1"/>
          <w:bCs w:val="1"/>
          <w:color w:val="00A1DF"/>
        </w:rPr>
      </w:pPr>
      <w:r>
        <w:rPr>
          <w:rFonts w:ascii="Arial" w:cs="Arial" w:eastAsia="Arial" w:hAnsi="Arial"/>
          <w:sz w:val="20"/>
          <w:szCs w:val="20"/>
          <w:color w:val="auto"/>
        </w:rPr>
        <w:t>Complete an annual incentive compensation risk review</w:t>
      </w:r>
    </w:p>
    <w:p>
      <w:pPr>
        <w:spacing w:after="0" w:line="144" w:lineRule="exact"/>
        <w:rPr>
          <w:rFonts w:ascii="Arial" w:cs="Arial" w:eastAsia="Arial" w:hAnsi="Arial"/>
          <w:sz w:val="20"/>
          <w:szCs w:val="20"/>
          <w:b w:val="1"/>
          <w:bCs w:val="1"/>
          <w:color w:val="00A1DF"/>
        </w:rPr>
      </w:pPr>
    </w:p>
    <w:p>
      <w:pPr>
        <w:ind w:left="940" w:right="280" w:hanging="233"/>
        <w:spacing w:after="0" w:line="180" w:lineRule="auto"/>
        <w:tabs>
          <w:tab w:leader="none" w:pos="940" w:val="left"/>
        </w:tabs>
        <w:numPr>
          <w:ilvl w:val="0"/>
          <w:numId w:val="46"/>
        </w:numPr>
        <w:rPr>
          <w:rFonts w:ascii="Arial" w:cs="Arial" w:eastAsia="Arial" w:hAnsi="Arial"/>
          <w:sz w:val="34"/>
          <w:szCs w:val="34"/>
          <w:b w:val="1"/>
          <w:bCs w:val="1"/>
          <w:color w:val="00A1DF"/>
          <w:vertAlign w:val="subscript"/>
        </w:rPr>
      </w:pPr>
      <w:r>
        <w:rPr>
          <w:rFonts w:ascii="Arial" w:cs="Arial" w:eastAsia="Arial" w:hAnsi="Arial"/>
          <w:sz w:val="18"/>
          <w:szCs w:val="18"/>
          <w:color w:val="auto"/>
        </w:rPr>
        <w:t>Require short-term cash and long-term equity awards for all executive officers to be subject to clawback and cancellation provisions</w:t>
      </w:r>
    </w:p>
    <w:p>
      <w:pPr>
        <w:spacing w:after="0" w:line="153" w:lineRule="exact"/>
        <w:rPr>
          <w:rFonts w:ascii="Arial" w:cs="Arial" w:eastAsia="Arial" w:hAnsi="Arial"/>
          <w:sz w:val="34"/>
          <w:szCs w:val="34"/>
          <w:b w:val="1"/>
          <w:bCs w:val="1"/>
          <w:color w:val="00A1DF"/>
          <w:vertAlign w:val="subscript"/>
        </w:rPr>
      </w:pPr>
    </w:p>
    <w:p>
      <w:pPr>
        <w:ind w:left="940" w:hanging="233"/>
        <w:spacing w:after="0"/>
        <w:tabs>
          <w:tab w:leader="none" w:pos="940" w:val="left"/>
        </w:tabs>
        <w:numPr>
          <w:ilvl w:val="0"/>
          <w:numId w:val="46"/>
        </w:numPr>
        <w:rPr>
          <w:rFonts w:ascii="Arial" w:cs="Arial" w:eastAsia="Arial" w:hAnsi="Arial"/>
          <w:sz w:val="20"/>
          <w:szCs w:val="20"/>
          <w:b w:val="1"/>
          <w:bCs w:val="1"/>
          <w:color w:val="00A1DF"/>
        </w:rPr>
      </w:pPr>
      <w:r>
        <w:rPr>
          <w:rFonts w:ascii="Arial" w:cs="Arial" w:eastAsia="Arial" w:hAnsi="Arial"/>
          <w:sz w:val="20"/>
          <w:szCs w:val="20"/>
          <w:color w:val="auto"/>
        </w:rPr>
        <w:t>Conduct an annual audit of senior executive expenses and perquisites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A1DF"/>
        </w:rPr>
        <w:t>WHAT WE DON’T DO</w:t>
      </w:r>
    </w:p>
    <w:p>
      <w:pPr>
        <w:spacing w:after="0" w:line="116" w:lineRule="exact"/>
        <w:rPr>
          <w:sz w:val="20"/>
          <w:szCs w:val="20"/>
          <w:color w:val="auto"/>
        </w:rPr>
      </w:pPr>
    </w:p>
    <w:p>
      <w:pPr>
        <w:ind w:left="940" w:hanging="235"/>
        <w:spacing w:after="0"/>
        <w:tabs>
          <w:tab w:leader="none" w:pos="940" w:val="left"/>
        </w:tabs>
        <w:numPr>
          <w:ilvl w:val="0"/>
          <w:numId w:val="47"/>
        </w:numPr>
        <w:rPr>
          <w:rFonts w:ascii="Arial" w:cs="Arial" w:eastAsia="Arial" w:hAnsi="Arial"/>
          <w:sz w:val="38"/>
          <w:szCs w:val="38"/>
          <w:b w:val="1"/>
          <w:bCs w:val="1"/>
          <w:i w:val="1"/>
          <w:iCs w:val="1"/>
          <w:color w:val="00A1DF"/>
          <w:vertAlign w:val="subscript"/>
        </w:rPr>
      </w:pPr>
      <w:r>
        <w:rPr>
          <w:rFonts w:ascii="Arial" w:cs="Arial" w:eastAsia="Arial" w:hAnsi="Arial"/>
          <w:sz w:val="19"/>
          <w:szCs w:val="19"/>
          <w:color w:val="auto"/>
        </w:rPr>
        <w:t>Provide</w:t>
      </w:r>
      <w:r>
        <w:rPr>
          <w:rFonts w:ascii="Arial" w:cs="Arial" w:eastAsia="Arial" w:hAnsi="Arial"/>
          <w:sz w:val="38"/>
          <w:szCs w:val="38"/>
          <w:color w:val="auto"/>
          <w:vertAlign w:val="subscript"/>
        </w:rPr>
        <w:t>benefits</w:t>
      </w:r>
      <w:r>
        <w:rPr>
          <w:rFonts w:ascii="Arial" w:cs="Arial" w:eastAsia="Arial" w:hAnsi="Arial"/>
          <w:sz w:val="19"/>
          <w:szCs w:val="19"/>
          <w:color w:val="auto"/>
        </w:rPr>
        <w:t xml:space="preserve"> gross-up payments to cover personal income taxes or excise taxes pertaining to executive severance</w:t>
      </w:r>
    </w:p>
    <w:p>
      <w:pPr>
        <w:spacing w:after="0" w:line="217" w:lineRule="exact"/>
        <w:rPr>
          <w:rFonts w:ascii="Arial" w:cs="Arial" w:eastAsia="Arial" w:hAnsi="Arial"/>
          <w:sz w:val="38"/>
          <w:szCs w:val="38"/>
          <w:b w:val="1"/>
          <w:bCs w:val="1"/>
          <w:i w:val="1"/>
          <w:iCs w:val="1"/>
          <w:color w:val="00A1DF"/>
          <w:vertAlign w:val="subscript"/>
        </w:rPr>
      </w:pPr>
    </w:p>
    <w:p>
      <w:pPr>
        <w:ind w:left="940" w:hanging="235"/>
        <w:spacing w:after="0"/>
        <w:tabs>
          <w:tab w:leader="none" w:pos="940" w:val="left"/>
        </w:tabs>
        <w:numPr>
          <w:ilvl w:val="0"/>
          <w:numId w:val="47"/>
        </w:numPr>
        <w:rPr>
          <w:rFonts w:ascii="Arial" w:cs="Arial" w:eastAsia="Arial" w:hAnsi="Arial"/>
          <w:sz w:val="20"/>
          <w:szCs w:val="20"/>
          <w:b w:val="1"/>
          <w:bCs w:val="1"/>
          <w:i w:val="1"/>
          <w:iCs w:val="1"/>
          <w:color w:val="00A1DF"/>
        </w:rPr>
      </w:pPr>
      <w:r>
        <w:rPr>
          <w:rFonts w:ascii="Arial" w:cs="Arial" w:eastAsia="Arial" w:hAnsi="Arial"/>
          <w:sz w:val="20"/>
          <w:szCs w:val="20"/>
          <w:color w:val="auto"/>
        </w:rPr>
        <w:t>Pay above-market interest on deferred compensation</w:t>
      </w:r>
    </w:p>
    <w:p>
      <w:pPr>
        <w:spacing w:after="0" w:line="157" w:lineRule="exact"/>
        <w:rPr>
          <w:rFonts w:ascii="Arial" w:cs="Arial" w:eastAsia="Arial" w:hAnsi="Arial"/>
          <w:sz w:val="20"/>
          <w:szCs w:val="20"/>
          <w:b w:val="1"/>
          <w:bCs w:val="1"/>
          <w:i w:val="1"/>
          <w:iCs w:val="1"/>
          <w:color w:val="00A1DF"/>
        </w:rPr>
      </w:pPr>
    </w:p>
    <w:p>
      <w:pPr>
        <w:ind w:left="940" w:hanging="235"/>
        <w:spacing w:after="0"/>
        <w:tabs>
          <w:tab w:leader="none" w:pos="940" w:val="left"/>
        </w:tabs>
        <w:numPr>
          <w:ilvl w:val="0"/>
          <w:numId w:val="47"/>
        </w:numPr>
        <w:rPr>
          <w:rFonts w:ascii="Arial" w:cs="Arial" w:eastAsia="Arial" w:hAnsi="Arial"/>
          <w:sz w:val="20"/>
          <w:szCs w:val="20"/>
          <w:b w:val="1"/>
          <w:bCs w:val="1"/>
          <w:i w:val="1"/>
          <w:iCs w:val="1"/>
          <w:color w:val="00A1DF"/>
        </w:rPr>
      </w:pPr>
      <w:r>
        <w:rPr>
          <w:rFonts w:ascii="Arial" w:cs="Arial" w:eastAsia="Arial" w:hAnsi="Arial"/>
          <w:sz w:val="20"/>
          <w:szCs w:val="20"/>
          <w:color w:val="auto"/>
        </w:rPr>
        <w:t>Allow directors or executives to engage in hedging or pledging of GM securities</w:t>
      </w:r>
    </w:p>
    <w:p>
      <w:pPr>
        <w:spacing w:after="0" w:line="157" w:lineRule="exact"/>
        <w:rPr>
          <w:rFonts w:ascii="Arial" w:cs="Arial" w:eastAsia="Arial" w:hAnsi="Arial"/>
          <w:sz w:val="20"/>
          <w:szCs w:val="20"/>
          <w:b w:val="1"/>
          <w:bCs w:val="1"/>
          <w:i w:val="1"/>
          <w:iCs w:val="1"/>
          <w:color w:val="00A1DF"/>
        </w:rPr>
      </w:pPr>
    </w:p>
    <w:p>
      <w:pPr>
        <w:ind w:left="940" w:hanging="235"/>
        <w:spacing w:after="0"/>
        <w:tabs>
          <w:tab w:leader="none" w:pos="940" w:val="left"/>
        </w:tabs>
        <w:numPr>
          <w:ilvl w:val="0"/>
          <w:numId w:val="47"/>
        </w:numPr>
        <w:rPr>
          <w:rFonts w:ascii="Arial" w:cs="Arial" w:eastAsia="Arial" w:hAnsi="Arial"/>
          <w:sz w:val="20"/>
          <w:szCs w:val="20"/>
          <w:b w:val="1"/>
          <w:bCs w:val="1"/>
          <w:i w:val="1"/>
          <w:iCs w:val="1"/>
          <w:color w:val="00A1DF"/>
        </w:rPr>
      </w:pPr>
      <w:r>
        <w:rPr>
          <w:rFonts w:ascii="Arial" w:cs="Arial" w:eastAsia="Arial" w:hAnsi="Arial"/>
          <w:sz w:val="20"/>
          <w:szCs w:val="20"/>
          <w:color w:val="auto"/>
        </w:rPr>
        <w:t>Reward executives for excessive, imprudent, inappropriate, or unnecessary risk-taking</w:t>
      </w:r>
    </w:p>
    <w:p>
      <w:pPr>
        <w:spacing w:after="0" w:line="157" w:lineRule="exact"/>
        <w:rPr>
          <w:rFonts w:ascii="Arial" w:cs="Arial" w:eastAsia="Arial" w:hAnsi="Arial"/>
          <w:sz w:val="20"/>
          <w:szCs w:val="20"/>
          <w:b w:val="1"/>
          <w:bCs w:val="1"/>
          <w:i w:val="1"/>
          <w:iCs w:val="1"/>
          <w:color w:val="00A1DF"/>
        </w:rPr>
      </w:pPr>
    </w:p>
    <w:p>
      <w:pPr>
        <w:ind w:left="940" w:hanging="235"/>
        <w:spacing w:after="0"/>
        <w:tabs>
          <w:tab w:leader="none" w:pos="940" w:val="left"/>
        </w:tabs>
        <w:numPr>
          <w:ilvl w:val="0"/>
          <w:numId w:val="47"/>
        </w:numPr>
        <w:rPr>
          <w:rFonts w:ascii="Arial" w:cs="Arial" w:eastAsia="Arial" w:hAnsi="Arial"/>
          <w:sz w:val="20"/>
          <w:szCs w:val="20"/>
          <w:b w:val="1"/>
          <w:bCs w:val="1"/>
          <w:i w:val="1"/>
          <w:iCs w:val="1"/>
          <w:color w:val="00A1DF"/>
        </w:rPr>
      </w:pPr>
      <w:r>
        <w:rPr>
          <w:rFonts w:ascii="Arial" w:cs="Arial" w:eastAsia="Arial" w:hAnsi="Arial"/>
          <w:sz w:val="20"/>
          <w:szCs w:val="20"/>
          <w:color w:val="auto"/>
        </w:rPr>
        <w:t>Allow the repricing or backdating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467995</wp:posOffset>
            </wp:positionV>
            <wp:extent cx="6793865" cy="101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39</w:t>
      </w:r>
    </w:p>
    <w:p>
      <w:pPr>
        <w:sectPr>
          <w:pgSz w:w="11900" w:h="16838" w:orient="portrait"/>
          <w:cols w:equalWidth="0" w:num="1">
            <w:col w:w="11100"/>
          </w:cols>
          <w:pgMar w:left="320" w:top="456"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63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38010" cy="76390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60" w:hanging="545"/>
        <w:spacing w:after="0"/>
        <w:tabs>
          <w:tab w:leader="none" w:pos="1060" w:val="left"/>
        </w:tabs>
        <w:numPr>
          <w:ilvl w:val="0"/>
          <w:numId w:val="48"/>
        </w:numPr>
        <w:rPr>
          <w:rFonts w:ascii="Arial" w:cs="Arial" w:eastAsia="Arial" w:hAnsi="Arial"/>
          <w:sz w:val="25"/>
          <w:szCs w:val="25"/>
          <w:color w:val="0033A0"/>
        </w:rPr>
      </w:pPr>
      <w:r>
        <w:rPr>
          <w:rFonts w:ascii="Arial" w:cs="Arial" w:eastAsia="Arial" w:hAnsi="Arial"/>
          <w:sz w:val="25"/>
          <w:szCs w:val="25"/>
          <w:color w:val="auto"/>
        </w:rPr>
        <w:t>Shareholder Engagement</w:t>
      </w:r>
    </w:p>
    <w:p>
      <w:pPr>
        <w:spacing w:after="0" w:line="152" w:lineRule="exact"/>
        <w:rPr>
          <w:sz w:val="20"/>
          <w:szCs w:val="20"/>
          <w:color w:val="auto"/>
        </w:rPr>
      </w:pPr>
    </w:p>
    <w:p>
      <w:pPr>
        <w:jc w:val="both"/>
        <w:ind w:left="520" w:right="120"/>
        <w:spacing w:after="0" w:line="236" w:lineRule="auto"/>
        <w:rPr>
          <w:sz w:val="20"/>
          <w:szCs w:val="20"/>
          <w:color w:val="auto"/>
        </w:rPr>
      </w:pPr>
      <w:r>
        <w:rPr>
          <w:rFonts w:ascii="Arial" w:cs="Arial" w:eastAsia="Arial" w:hAnsi="Arial"/>
          <w:sz w:val="18"/>
          <w:szCs w:val="18"/>
          <w:color w:val="auto"/>
        </w:rPr>
        <w:t>The Company annually seeks feedback through engagement with shareholders and we continued this process in 2019. We view shareholder engagement as an important and continuous process. In 2019, members of the Board and senior management engaged with shareholders representing approximately 50% of GM’s outstanding shares of common stock on various topics, including executive compensation.</w:t>
      </w:r>
    </w:p>
    <w:p>
      <w:pPr>
        <w:spacing w:after="0" w:line="122" w:lineRule="exact"/>
        <w:rPr>
          <w:sz w:val="20"/>
          <w:szCs w:val="20"/>
          <w:color w:val="auto"/>
        </w:rPr>
      </w:pPr>
    </w:p>
    <w:p>
      <w:pPr>
        <w:jc w:val="both"/>
        <w:ind w:left="520" w:right="120"/>
        <w:spacing w:after="0" w:line="235" w:lineRule="auto"/>
        <w:rPr>
          <w:sz w:val="20"/>
          <w:szCs w:val="20"/>
          <w:color w:val="auto"/>
        </w:rPr>
      </w:pPr>
      <w:r>
        <w:rPr>
          <w:rFonts w:ascii="Arial" w:cs="Arial" w:eastAsia="Arial" w:hAnsi="Arial"/>
          <w:sz w:val="18"/>
          <w:szCs w:val="18"/>
          <w:color w:val="auto"/>
        </w:rPr>
        <w:t>Through these engagements, we received feedback in support of executive compensation programs and, in particular, the Compensation Committee’s decision to further drive accountability and reinforce our safety culture and ESG results. These discussions, Say-on-Pay voting results, and alignment to the Company vision and strategic goals, are key drivers in our ongoing assessment of our current and future programs. As executive compensation programs evolve, the Board remains committed to continuing the dialogue with shareholders regarding our compensation philosophy and practices.</w:t>
      </w:r>
    </w:p>
    <w:p>
      <w:pPr>
        <w:spacing w:after="0" w:line="284" w:lineRule="exact"/>
        <w:rPr>
          <w:sz w:val="20"/>
          <w:szCs w:val="20"/>
          <w:color w:val="auto"/>
        </w:rPr>
      </w:pPr>
    </w:p>
    <w:p>
      <w:pPr>
        <w:jc w:val="center"/>
        <w:ind w:left="5280"/>
        <w:spacing w:after="0"/>
        <w:rPr>
          <w:sz w:val="20"/>
          <w:szCs w:val="20"/>
          <w:color w:val="auto"/>
        </w:rPr>
      </w:pPr>
      <w:r>
        <w:rPr>
          <w:rFonts w:ascii="Arial" w:cs="Arial" w:eastAsia="Arial" w:hAnsi="Arial"/>
          <w:sz w:val="20"/>
          <w:szCs w:val="20"/>
          <w:b w:val="1"/>
          <w:bCs w:val="1"/>
          <w:color w:val="00A1DF"/>
        </w:rPr>
        <w:t>SHAREHOLDER SAY-ON-PAY</w:t>
      </w:r>
    </w:p>
    <w:p>
      <w:pPr>
        <w:spacing w:after="0" w:line="11" w:lineRule="exact"/>
        <w:rPr>
          <w:sz w:val="20"/>
          <w:szCs w:val="20"/>
          <w:color w:val="auto"/>
        </w:rPr>
      </w:pPr>
    </w:p>
    <w:p>
      <w:pPr>
        <w:jc w:val="both"/>
        <w:ind w:left="5880" w:right="180"/>
        <w:spacing w:after="0" w:line="234" w:lineRule="auto"/>
        <w:rPr>
          <w:sz w:val="20"/>
          <w:szCs w:val="20"/>
          <w:color w:val="auto"/>
        </w:rPr>
      </w:pPr>
      <w:r>
        <w:rPr>
          <w:rFonts w:ascii="Arial" w:cs="Arial" w:eastAsia="Arial" w:hAnsi="Arial"/>
          <w:sz w:val="18"/>
          <w:szCs w:val="18"/>
          <w:color w:val="0033A0"/>
        </w:rPr>
        <w:t>The Compensation Committee seeks to align the Company’s executive compensation programs with the interests of the Company’s shareholders. The Compensation Committee considers the results of the annual Say-on-Pay vote, the long-term vision and strategic goals of the Company, input from management, input from its independent compensation consultant, and investor engagement feedback when setting compensation for our executives. In 2019, 97.3% of our shareholders voted in favor of our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tabs>
          <w:tab w:leader="none" w:pos="3320" w:val="left"/>
        </w:tabs>
        <w:rPr>
          <w:sz w:val="20"/>
          <w:szCs w:val="20"/>
          <w:color w:val="auto"/>
        </w:rPr>
      </w:pPr>
      <w:r>
        <w:rPr>
          <w:rFonts w:ascii="Arial" w:cs="Arial" w:eastAsia="Arial" w:hAnsi="Arial"/>
          <w:sz w:val="18"/>
          <w:szCs w:val="18"/>
          <w:b w:val="1"/>
          <w:bCs w:val="1"/>
          <w:color w:val="00A1DF"/>
        </w:rPr>
        <w:t>Investor Alignment Topics</w:t>
      </w:r>
      <w:r>
        <w:rPr>
          <w:sz w:val="20"/>
          <w:szCs w:val="20"/>
          <w:color w:val="auto"/>
        </w:rPr>
        <w:tab/>
      </w:r>
      <w:r>
        <w:rPr>
          <w:rFonts w:ascii="Arial" w:cs="Arial" w:eastAsia="Arial" w:hAnsi="Arial"/>
          <w:sz w:val="17"/>
          <w:szCs w:val="17"/>
          <w:b w:val="1"/>
          <w:bCs w:val="1"/>
          <w:color w:val="00A1DF"/>
        </w:rPr>
        <w:t>2019 Activities</w:t>
      </w:r>
    </w:p>
    <w:p>
      <w:pPr>
        <w:spacing w:after="0" w:line="154" w:lineRule="exact"/>
        <w:rPr>
          <w:sz w:val="20"/>
          <w:szCs w:val="20"/>
          <w:color w:val="auto"/>
        </w:rPr>
      </w:pPr>
    </w:p>
    <w:p>
      <w:pPr>
        <w:jc w:val="both"/>
        <w:ind w:left="3340" w:hanging="2839"/>
        <w:spacing w:after="0" w:line="235" w:lineRule="auto"/>
        <w:tabs>
          <w:tab w:leader="none" w:pos="3320" w:val="left"/>
        </w:tabs>
        <w:rPr>
          <w:sz w:val="20"/>
          <w:szCs w:val="20"/>
          <w:color w:val="auto"/>
        </w:rPr>
      </w:pPr>
      <w:r>
        <w:rPr>
          <w:rFonts w:ascii="Arial" w:cs="Arial" w:eastAsia="Arial" w:hAnsi="Arial"/>
          <w:sz w:val="18"/>
          <w:szCs w:val="18"/>
          <w:b w:val="1"/>
          <w:bCs w:val="1"/>
          <w:color w:val="auto"/>
        </w:rPr>
        <w:t>Evaluate ESG Performance</w:t>
      </w:r>
      <w:r>
        <w:rPr>
          <w:sz w:val="20"/>
          <w:szCs w:val="20"/>
          <w:color w:val="auto"/>
        </w:rPr>
        <w:tab/>
      </w:r>
      <w:r>
        <w:rPr>
          <w:rFonts w:ascii="Arial" w:cs="Arial" w:eastAsia="Arial" w:hAnsi="Arial"/>
          <w:sz w:val="18"/>
          <w:szCs w:val="18"/>
          <w:color w:val="auto"/>
        </w:rPr>
        <w:t>ESG performance is a focus for the Company and our shareholders. The Compensation Committee factors ESG performance related to strategic goals for each NEO. We identify ESG results with a leaf in the “Our Company Performance” and “Performance Results and Compensation Decisions” sections, which reflect our ongoing commitment to ESG performance outcomes.</w:t>
      </w:r>
    </w:p>
    <w:p>
      <w:pPr>
        <w:spacing w:after="0" w:line="144" w:lineRule="exact"/>
        <w:rPr>
          <w:sz w:val="20"/>
          <w:szCs w:val="20"/>
          <w:color w:val="auto"/>
        </w:rPr>
      </w:pPr>
    </w:p>
    <w:p>
      <w:pPr>
        <w:ind w:left="500"/>
        <w:spacing w:after="0"/>
        <w:tabs>
          <w:tab w:leader="none" w:pos="3320" w:val="left"/>
        </w:tabs>
        <w:rPr>
          <w:sz w:val="20"/>
          <w:szCs w:val="20"/>
          <w:color w:val="auto"/>
        </w:rPr>
      </w:pPr>
      <w:r>
        <w:rPr>
          <w:rFonts w:ascii="Arial" w:cs="Arial" w:eastAsia="Arial" w:hAnsi="Arial"/>
          <w:sz w:val="18"/>
          <w:szCs w:val="18"/>
          <w:b w:val="1"/>
          <w:bCs w:val="1"/>
          <w:color w:val="auto"/>
        </w:rPr>
        <w:t>Balanced Approach to Long-</w:t>
      </w:r>
      <w:r>
        <w:rPr>
          <w:sz w:val="20"/>
          <w:szCs w:val="20"/>
          <w:color w:val="auto"/>
        </w:rPr>
        <w:tab/>
      </w:r>
      <w:r>
        <w:rPr>
          <w:rFonts w:ascii="Arial" w:cs="Arial" w:eastAsia="Arial" w:hAnsi="Arial"/>
          <w:sz w:val="18"/>
          <w:szCs w:val="18"/>
          <w:color w:val="auto"/>
        </w:rPr>
        <w:t>Shareholder  feedback  led  us  to  change  the  performance  measure  weights  for  PSUs.</w:t>
      </w:r>
    </w:p>
    <w:p>
      <w:pPr>
        <w:spacing w:after="0" w:line="16" w:lineRule="exact"/>
        <w:rPr>
          <w:sz w:val="20"/>
          <w:szCs w:val="20"/>
          <w:color w:val="auto"/>
        </w:rPr>
      </w:pPr>
    </w:p>
    <w:p>
      <w:pPr>
        <w:jc w:val="both"/>
        <w:ind w:left="3340" w:right="20" w:hanging="2839"/>
        <w:spacing w:after="0" w:line="234" w:lineRule="auto"/>
        <w:tabs>
          <w:tab w:leader="none" w:pos="3320" w:val="left"/>
        </w:tabs>
        <w:rPr>
          <w:sz w:val="20"/>
          <w:szCs w:val="20"/>
          <w:color w:val="auto"/>
        </w:rPr>
      </w:pPr>
      <w:r>
        <w:rPr>
          <w:rFonts w:ascii="Arial" w:cs="Arial" w:eastAsia="Arial" w:hAnsi="Arial"/>
          <w:sz w:val="18"/>
          <w:szCs w:val="18"/>
          <w:b w:val="1"/>
          <w:bCs w:val="1"/>
          <w:color w:val="auto"/>
        </w:rPr>
        <w:t>Term Performance</w:t>
      </w:r>
      <w:r>
        <w:rPr>
          <w:sz w:val="20"/>
          <w:szCs w:val="20"/>
          <w:color w:val="auto"/>
        </w:rPr>
        <w:tab/>
      </w:r>
      <w:r>
        <w:rPr>
          <w:rFonts w:ascii="Arial" w:cs="Arial" w:eastAsia="Arial" w:hAnsi="Arial"/>
          <w:sz w:val="18"/>
          <w:szCs w:val="18"/>
          <w:color w:val="auto"/>
        </w:rPr>
        <w:t>Beginning in 2020, PSUs will be equally weighted for Relative ROIC-adjusted and Relative TSR, with each representing 37.5% of total LTIP and Stock Options representing the remaining 25%. Relative ROIC-adjusted will be capped at target if GM’s ROIC-adjusted performance is less than GM’s WACC over the performance period. Relative TSR will be capped at target if GM’s TSR is negative over the performance period. We continue to evaluate the external market and hold conversations with investors to ensure the competitiveness and appropriateness of both the STIP and LTIP.</w:t>
      </w:r>
    </w:p>
    <w:p>
      <w:pPr>
        <w:spacing w:after="0" w:line="130" w:lineRule="exact"/>
        <w:rPr>
          <w:sz w:val="20"/>
          <w:szCs w:val="20"/>
          <w:color w:val="auto"/>
        </w:rPr>
      </w:pPr>
    </w:p>
    <w:p>
      <w:pPr>
        <w:jc w:val="both"/>
        <w:ind w:left="3340" w:hanging="2839"/>
        <w:spacing w:after="0" w:line="237" w:lineRule="auto"/>
        <w:tabs>
          <w:tab w:leader="none" w:pos="3320" w:val="left"/>
        </w:tabs>
        <w:rPr>
          <w:sz w:val="20"/>
          <w:szCs w:val="20"/>
          <w:color w:val="auto"/>
        </w:rPr>
      </w:pPr>
      <w:r>
        <w:rPr>
          <w:rFonts w:ascii="Arial" w:cs="Arial" w:eastAsia="Arial" w:hAnsi="Arial"/>
          <w:sz w:val="18"/>
          <w:szCs w:val="18"/>
          <w:b w:val="1"/>
          <w:bCs w:val="1"/>
          <w:color w:val="auto"/>
        </w:rPr>
        <w:t>Measure Relative Performance</w:t>
      </w:r>
      <w:r>
        <w:rPr>
          <w:sz w:val="20"/>
          <w:szCs w:val="20"/>
          <w:color w:val="auto"/>
        </w:rPr>
        <w:tab/>
      </w:r>
      <w:r>
        <w:rPr>
          <w:rFonts w:ascii="Arial" w:cs="Arial" w:eastAsia="Arial" w:hAnsi="Arial"/>
          <w:sz w:val="18"/>
          <w:szCs w:val="18"/>
          <w:color w:val="auto"/>
        </w:rPr>
        <w:t>Our PSUs measure Relative ROIC-adjusted and Relative TSR versus the OEM peer group to drive performance to be at the top of the industry, regardless of where we are in our business cycle.</w:t>
      </w:r>
    </w:p>
    <w:p>
      <w:pPr>
        <w:spacing w:after="0" w:line="149" w:lineRule="exact"/>
        <w:rPr>
          <w:sz w:val="20"/>
          <w:szCs w:val="20"/>
          <w:color w:val="auto"/>
        </w:rPr>
      </w:pPr>
    </w:p>
    <w:p>
      <w:pPr>
        <w:jc w:val="both"/>
        <w:ind w:left="3340" w:right="20" w:hanging="2839"/>
        <w:spacing w:after="0" w:line="235" w:lineRule="auto"/>
        <w:tabs>
          <w:tab w:leader="none" w:pos="3320" w:val="left"/>
        </w:tabs>
        <w:rPr>
          <w:sz w:val="20"/>
          <w:szCs w:val="20"/>
          <w:color w:val="auto"/>
        </w:rPr>
      </w:pPr>
      <w:r>
        <w:rPr>
          <w:rFonts w:ascii="Arial" w:cs="Arial" w:eastAsia="Arial" w:hAnsi="Arial"/>
          <w:sz w:val="18"/>
          <w:szCs w:val="18"/>
          <w:b w:val="1"/>
          <w:bCs w:val="1"/>
          <w:color w:val="auto"/>
        </w:rPr>
        <w:t>Simple Compensation Plans</w:t>
      </w:r>
      <w:r>
        <w:rPr>
          <w:sz w:val="20"/>
          <w:szCs w:val="20"/>
          <w:color w:val="auto"/>
        </w:rPr>
        <w:tab/>
      </w:r>
      <w:r>
        <w:rPr>
          <w:rFonts w:ascii="Arial" w:cs="Arial" w:eastAsia="Arial" w:hAnsi="Arial"/>
          <w:sz w:val="18"/>
          <w:szCs w:val="18"/>
          <w:color w:val="auto"/>
        </w:rPr>
        <w:t>We continue an approach of using simple and clear compensation plans that align with the interests of our shareholders. Our performance measures focus our most senior leaders on a culture of safety, key operational performance results, and strategic goals. Our executive compensation plans have continued to align the interests of our senior leadership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466725</wp:posOffset>
            </wp:positionV>
            <wp:extent cx="6793865" cy="101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40</w:t>
      </w:r>
    </w:p>
    <w:p>
      <w:pPr>
        <w:sectPr>
          <w:pgSz w:w="11900" w:h="16838" w:orient="portrait"/>
          <w:cols w:equalWidth="0" w:num="1">
            <w:col w:w="10840"/>
          </w:cols>
          <w:pgMar w:left="320" w:top="456" w:right="7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3672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38010" cy="7367270"/>
                    </a:xfrm>
                    <a:prstGeom prst="rect">
                      <a:avLst/>
                    </a:prstGeom>
                    <a:noFill/>
                  </pic:spPr>
                </pic:pic>
              </a:graphicData>
            </a:graphic>
          </wp:anchor>
        </w:drawing>
      </w:r>
    </w:p>
    <w:p>
      <w:pPr>
        <w:spacing w:after="0" w:line="382" w:lineRule="exact"/>
        <w:rPr>
          <w:sz w:val="20"/>
          <w:szCs w:val="20"/>
          <w:color w:val="auto"/>
        </w:rPr>
      </w:pPr>
    </w:p>
    <w:p>
      <w:pPr>
        <w:ind w:left="860" w:hanging="503"/>
        <w:spacing w:after="0"/>
        <w:tabs>
          <w:tab w:leader="none" w:pos="860" w:val="left"/>
        </w:tabs>
        <w:numPr>
          <w:ilvl w:val="0"/>
          <w:numId w:val="49"/>
        </w:numPr>
        <w:rPr>
          <w:rFonts w:ascii="Arial" w:cs="Arial" w:eastAsia="Arial" w:hAnsi="Arial"/>
          <w:sz w:val="25"/>
          <w:szCs w:val="25"/>
          <w:color w:val="0033A0"/>
        </w:rPr>
      </w:pPr>
      <w:r>
        <w:rPr>
          <w:rFonts w:ascii="Arial" w:cs="Arial" w:eastAsia="Arial" w:hAnsi="Arial"/>
          <w:sz w:val="25"/>
          <w:szCs w:val="25"/>
          <w:color w:val="auto"/>
        </w:rPr>
        <w:t>Compensation Program Evolution</w:t>
      </w:r>
    </w:p>
    <w:p>
      <w:pPr>
        <w:spacing w:after="0" w:line="149" w:lineRule="exact"/>
        <w:rPr>
          <w:sz w:val="20"/>
          <w:szCs w:val="20"/>
          <w:color w:val="auto"/>
        </w:rPr>
      </w:pPr>
    </w:p>
    <w:p>
      <w:pPr>
        <w:jc w:val="both"/>
        <w:ind w:left="360" w:right="220"/>
        <w:spacing w:after="0" w:line="226" w:lineRule="auto"/>
        <w:rPr>
          <w:sz w:val="20"/>
          <w:szCs w:val="20"/>
          <w:color w:val="auto"/>
        </w:rPr>
      </w:pPr>
      <w:r>
        <w:rPr>
          <w:rFonts w:ascii="Arial" w:cs="Arial" w:eastAsia="Arial" w:hAnsi="Arial"/>
          <w:sz w:val="20"/>
          <w:szCs w:val="20"/>
          <w:color w:val="auto"/>
        </w:rPr>
        <w:t>Our compensation programs focus our leadership on key areas that drive the business forward and align to the short-term and long-term interests of our shareholders. The Compensation Committee regularly reviews and discusses plan performance at each meeting. The Compensation Committee considers many factors when electing to make plan changes for future incentive plans including results, market trends, feedback from its independent compensation consultant, and shareholder feedback. The timeline below shows the actions we have taken to develop compensation programs that align the interests of our leaders with those of our shareholders, including actions taken to date in response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6122035</wp:posOffset>
            </wp:positionV>
            <wp:extent cx="6793865" cy="101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41</w:t>
      </w:r>
    </w:p>
    <w:p>
      <w:pPr>
        <w:sectPr>
          <w:pgSz w:w="11900" w:h="16838" w:orient="portrait"/>
          <w:cols w:equalWidth="0" w:num="1">
            <w:col w:w="11100"/>
          </w:cols>
          <w:pgMar w:left="320" w:top="456"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4434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38010" cy="7443470"/>
                    </a:xfrm>
                    <a:prstGeom prst="rect">
                      <a:avLst/>
                    </a:prstGeom>
                    <a:noFill/>
                  </pic:spPr>
                </pic:pic>
              </a:graphicData>
            </a:graphic>
          </wp:anchor>
        </w:drawing>
      </w:r>
    </w:p>
    <w:p>
      <w:pPr>
        <w:spacing w:after="0" w:line="217" w:lineRule="exact"/>
        <w:rPr>
          <w:sz w:val="20"/>
          <w:szCs w:val="20"/>
          <w:color w:val="auto"/>
        </w:rPr>
      </w:pPr>
    </w:p>
    <w:p>
      <w:pPr>
        <w:jc w:val="both"/>
        <w:ind w:left="520" w:right="120"/>
        <w:spacing w:after="0" w:line="227" w:lineRule="auto"/>
        <w:rPr>
          <w:sz w:val="20"/>
          <w:szCs w:val="20"/>
          <w:color w:val="auto"/>
        </w:rPr>
      </w:pPr>
      <w:r>
        <w:rPr>
          <w:rFonts w:ascii="Arial" w:cs="Arial" w:eastAsia="Arial" w:hAnsi="Arial"/>
          <w:sz w:val="20"/>
          <w:szCs w:val="20"/>
          <w:color w:val="auto"/>
        </w:rPr>
        <w:t>The STIP focuses leadership on key financial measures (75% of STIP) and strategic goals (25% of STIP). The total payout for the STIP ranges from 0% to 200% of target based on performance against pre-established targets. The Compensation Committee determines performance to strategic goals using a rigorous assessment process measuring performance against pre-established operational goals, safety results, and other measures. Payout for strategic goals performance will only occur if threshold performance of at least one financial measure is met.</w:t>
      </w:r>
    </w:p>
    <w:p>
      <w:pPr>
        <w:spacing w:after="0" w:line="129" w:lineRule="exact"/>
        <w:rPr>
          <w:sz w:val="20"/>
          <w:szCs w:val="20"/>
          <w:color w:val="auto"/>
        </w:rPr>
      </w:pPr>
    </w:p>
    <w:p>
      <w:pPr>
        <w:jc w:val="both"/>
        <w:ind w:left="520" w:right="120"/>
        <w:spacing w:after="0" w:line="228" w:lineRule="auto"/>
        <w:rPr>
          <w:sz w:val="20"/>
          <w:szCs w:val="20"/>
          <w:color w:val="auto"/>
        </w:rPr>
      </w:pPr>
      <w:r>
        <w:rPr>
          <w:rFonts w:ascii="Arial" w:cs="Arial" w:eastAsia="Arial" w:hAnsi="Arial"/>
          <w:sz w:val="20"/>
          <w:szCs w:val="20"/>
          <w:color w:val="auto"/>
        </w:rPr>
        <w:t>The 2019 LTIP is the same design as in 2018 and features Stock Options (25% of total LTIP) to align our most senior leaders with our shareholders’ interest in stock price appreciation and PSUs (75% of total LTIP) with relative performance measures that drive long-term results. The PSUs measure Relative ROIC-adjusted (50% of total LTIP) and Relative TSR (25% of total LTIP).</w:t>
      </w:r>
    </w:p>
    <w:p>
      <w:pPr>
        <w:spacing w:after="0" w:line="116" w:lineRule="exact"/>
        <w:rPr>
          <w:sz w:val="20"/>
          <w:szCs w:val="20"/>
          <w:color w:val="auto"/>
        </w:rPr>
      </w:pPr>
    </w:p>
    <w:p>
      <w:pPr>
        <w:jc w:val="both"/>
        <w:ind w:left="520" w:right="120"/>
        <w:spacing w:after="0" w:line="228" w:lineRule="auto"/>
        <w:rPr>
          <w:sz w:val="20"/>
          <w:szCs w:val="20"/>
          <w:color w:val="auto"/>
        </w:rPr>
      </w:pPr>
      <w:r>
        <w:rPr>
          <w:rFonts w:ascii="Arial" w:cs="Arial" w:eastAsia="Arial" w:hAnsi="Arial"/>
          <w:sz w:val="20"/>
          <w:szCs w:val="20"/>
          <w:color w:val="auto"/>
        </w:rPr>
        <w:t>Focusing performance on both financial measures and strategic goals in the short term, combined with measuring Relative ROIC-adjusted and Relative TSR compared to our OEM peers in the long term, provides direct alignment of our executive compensation program with the interests of our shareholders and focuses senior leaders on making the investments that will provide profitable long-term growth.</w:t>
      </w:r>
    </w:p>
    <w:p>
      <w:pPr>
        <w:spacing w:after="0" w:line="321" w:lineRule="exact"/>
        <w:rPr>
          <w:sz w:val="20"/>
          <w:szCs w:val="20"/>
          <w:color w:val="auto"/>
        </w:rPr>
      </w:pPr>
    </w:p>
    <w:p>
      <w:pPr>
        <w:ind w:left="640" w:hanging="225"/>
        <w:spacing w:after="0"/>
        <w:tabs>
          <w:tab w:leader="none" w:pos="640" w:val="left"/>
        </w:tabs>
        <w:numPr>
          <w:ilvl w:val="0"/>
          <w:numId w:val="50"/>
        </w:numPr>
        <w:rPr>
          <w:rFonts w:ascii="Arial" w:cs="Arial" w:eastAsia="Arial" w:hAnsi="Arial"/>
          <w:sz w:val="25"/>
          <w:szCs w:val="25"/>
          <w:color w:val="0033A0"/>
        </w:rPr>
      </w:pPr>
      <w:r>
        <w:rPr>
          <w:rFonts w:ascii="Arial" w:cs="Arial" w:eastAsia="Arial" w:hAnsi="Arial"/>
          <w:sz w:val="25"/>
          <w:szCs w:val="25"/>
          <w:color w:val="auto"/>
        </w:rPr>
        <w:t>2020 LTIP Changes</w:t>
      </w:r>
    </w:p>
    <w:p>
      <w:pPr>
        <w:spacing w:after="0" w:line="162" w:lineRule="exact"/>
        <w:rPr>
          <w:sz w:val="20"/>
          <w:szCs w:val="20"/>
          <w:color w:val="auto"/>
        </w:rPr>
      </w:pPr>
    </w:p>
    <w:p>
      <w:pPr>
        <w:jc w:val="both"/>
        <w:ind w:left="420" w:right="4700"/>
        <w:spacing w:after="0" w:line="227" w:lineRule="auto"/>
        <w:rPr>
          <w:sz w:val="20"/>
          <w:szCs w:val="20"/>
          <w:color w:val="auto"/>
        </w:rPr>
      </w:pPr>
      <w:r>
        <w:rPr>
          <w:rFonts w:ascii="Arial" w:cs="Arial" w:eastAsia="Arial" w:hAnsi="Arial"/>
          <w:sz w:val="20"/>
          <w:szCs w:val="20"/>
          <w:color w:val="auto"/>
        </w:rPr>
        <w:t>The 2020 LTIP will continue to have a mix of 25% Stock Options and 75% PSUs. Beginning in 2020, PSUs will be equally weighted for Relative ROIC-adjusted and Relative TSR, with each representing 37.5% of total LTIP. Both PSU measures will have performance caps added, as described below.</w:t>
      </w:r>
    </w:p>
    <w:p>
      <w:pPr>
        <w:spacing w:after="0" w:line="119" w:lineRule="exact"/>
        <w:rPr>
          <w:sz w:val="20"/>
          <w:szCs w:val="20"/>
          <w:color w:val="auto"/>
        </w:rPr>
      </w:pPr>
    </w:p>
    <w:p>
      <w:pPr>
        <w:jc w:val="both"/>
        <w:ind w:left="420" w:right="4700"/>
        <w:spacing w:after="0" w:line="254" w:lineRule="auto"/>
        <w:rPr>
          <w:sz w:val="20"/>
          <w:szCs w:val="20"/>
          <w:color w:val="auto"/>
        </w:rPr>
      </w:pPr>
      <w:r>
        <w:rPr>
          <w:rFonts w:ascii="Arial" w:cs="Arial" w:eastAsia="Arial" w:hAnsi="Arial"/>
          <w:sz w:val="20"/>
          <w:szCs w:val="20"/>
          <w:b w:val="1"/>
          <w:bCs w:val="1"/>
          <w:color w:val="0033A0"/>
        </w:rPr>
        <w:t xml:space="preserve">Relative ROIC-adjusted </w:t>
      </w:r>
      <w:r>
        <w:rPr>
          <w:rFonts w:ascii="Arial" w:cs="Arial" w:eastAsia="Arial" w:hAnsi="Arial"/>
          <w:sz w:val="20"/>
          <w:szCs w:val="20"/>
          <w:color w:val="000000"/>
        </w:rPr>
        <w:t>– Capped at target if GM’s ROIC-adjusted does not exceed GM’s WACC</w:t>
      </w:r>
    </w:p>
    <w:p>
      <w:pPr>
        <w:spacing w:after="0" w:line="102" w:lineRule="exact"/>
        <w:rPr>
          <w:sz w:val="20"/>
          <w:szCs w:val="20"/>
          <w:color w:val="auto"/>
        </w:rPr>
      </w:pPr>
    </w:p>
    <w:p>
      <w:pPr>
        <w:jc w:val="both"/>
        <w:ind w:left="420" w:right="4700"/>
        <w:spacing w:after="0" w:line="254" w:lineRule="auto"/>
        <w:rPr>
          <w:sz w:val="20"/>
          <w:szCs w:val="20"/>
          <w:color w:val="auto"/>
        </w:rPr>
      </w:pPr>
      <w:r>
        <w:rPr>
          <w:rFonts w:ascii="Arial" w:cs="Arial" w:eastAsia="Arial" w:hAnsi="Arial"/>
          <w:sz w:val="20"/>
          <w:szCs w:val="20"/>
          <w:b w:val="1"/>
          <w:bCs w:val="1"/>
          <w:color w:val="0033A0"/>
        </w:rPr>
        <w:t xml:space="preserve">Relative TSR </w:t>
      </w:r>
      <w:r>
        <w:rPr>
          <w:rFonts w:ascii="Arial" w:cs="Arial" w:eastAsia="Arial" w:hAnsi="Arial"/>
          <w:sz w:val="20"/>
          <w:szCs w:val="20"/>
          <w:color w:val="000000"/>
        </w:rPr>
        <w:t>– Capped at target if GM’s TSR is negative over the</w:t>
      </w:r>
      <w:r>
        <w:rPr>
          <w:rFonts w:ascii="Arial" w:cs="Arial" w:eastAsia="Arial" w:hAnsi="Arial"/>
          <w:sz w:val="20"/>
          <w:szCs w:val="20"/>
          <w:b w:val="1"/>
          <w:bCs w:val="1"/>
          <w:color w:val="0033A0"/>
        </w:rPr>
        <w:t xml:space="preserve"> </w:t>
      </w:r>
      <w:r>
        <w:rPr>
          <w:rFonts w:ascii="Arial" w:cs="Arial" w:eastAsia="Arial" w:hAnsi="Arial"/>
          <w:sz w:val="20"/>
          <w:szCs w:val="20"/>
          <w:color w:val="000000"/>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60" w:hanging="545"/>
        <w:spacing w:after="0"/>
        <w:tabs>
          <w:tab w:leader="none" w:pos="1060" w:val="left"/>
        </w:tabs>
        <w:numPr>
          <w:ilvl w:val="0"/>
          <w:numId w:val="51"/>
        </w:numPr>
        <w:rPr>
          <w:rFonts w:ascii="Arial" w:cs="Arial" w:eastAsia="Arial" w:hAnsi="Arial"/>
          <w:sz w:val="25"/>
          <w:szCs w:val="25"/>
          <w:color w:val="0033A0"/>
        </w:rPr>
      </w:pPr>
      <w:r>
        <w:rPr>
          <w:rFonts w:ascii="Arial" w:cs="Arial" w:eastAsia="Arial" w:hAnsi="Arial"/>
          <w:sz w:val="25"/>
          <w:szCs w:val="25"/>
          <w:color w:val="auto"/>
        </w:rPr>
        <w:t>Peer Group for 2019-2021 LTIP Performance</w:t>
      </w:r>
    </w:p>
    <w:p>
      <w:pPr>
        <w:spacing w:after="0" w:line="149" w:lineRule="exact"/>
        <w:rPr>
          <w:sz w:val="20"/>
          <w:szCs w:val="20"/>
          <w:color w:val="auto"/>
        </w:rPr>
      </w:pPr>
    </w:p>
    <w:p>
      <w:pPr>
        <w:jc w:val="both"/>
        <w:ind w:left="520" w:right="120"/>
        <w:spacing w:after="0" w:line="228" w:lineRule="auto"/>
        <w:rPr>
          <w:sz w:val="20"/>
          <w:szCs w:val="20"/>
          <w:color w:val="auto"/>
        </w:rPr>
      </w:pPr>
      <w:r>
        <w:rPr>
          <w:rFonts w:ascii="Arial" w:cs="Arial" w:eastAsia="Arial" w:hAnsi="Arial"/>
          <w:sz w:val="20"/>
          <w:szCs w:val="20"/>
          <w:color w:val="auto"/>
        </w:rPr>
        <w:t>We use the following OEMs in the Dow Jones Automobile &amp; Parts Titans 30 Index to measure relative performance for Relative ROIC-adjusted and Relative TSR measures for the 2019-2021 PSU awards. The Compensation Committee uses this index for performance comparisons because the companies represent our global competition and are subject to similar macroeconomic challenges.</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00A1DF"/>
        </w:rPr>
        <w:t>Dow Jones Automobiles &amp; Parts Titans 30 Index – OEM Peer Group</w:t>
      </w:r>
      <w:r>
        <w:rPr>
          <w:rFonts w:ascii="Arial" w:cs="Arial" w:eastAsia="Arial" w:hAnsi="Arial"/>
          <w:sz w:val="16"/>
          <w:szCs w:val="16"/>
          <w:b w:val="1"/>
          <w:bCs w:val="1"/>
          <w:color w:val="00A1DF"/>
        </w:rPr>
        <w:t>(1)</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35"/>
        </w:trPr>
        <w:tc>
          <w:tcPr>
            <w:tcW w:w="3700" w:type="dxa"/>
            <w:vAlign w:val="bottom"/>
          </w:tcPr>
          <w:p>
            <w:pPr>
              <w:jc w:val="center"/>
              <w:ind w:right="162"/>
              <w:spacing w:after="0"/>
              <w:rPr>
                <w:sz w:val="20"/>
                <w:szCs w:val="20"/>
                <w:color w:val="auto"/>
              </w:rPr>
            </w:pPr>
            <w:r>
              <w:rPr>
                <w:rFonts w:ascii="Arial" w:cs="Arial" w:eastAsia="Arial" w:hAnsi="Arial"/>
                <w:sz w:val="20"/>
                <w:szCs w:val="20"/>
                <w:color w:val="auto"/>
                <w:w w:val="97"/>
              </w:rPr>
              <w:t>Bayerische Motoren Werke AG</w:t>
            </w:r>
          </w:p>
        </w:tc>
        <w:tc>
          <w:tcPr>
            <w:tcW w:w="3260" w:type="dxa"/>
            <w:vAlign w:val="bottom"/>
          </w:tcPr>
          <w:p>
            <w:pPr>
              <w:jc w:val="center"/>
              <w:ind w:right="22"/>
              <w:spacing w:after="0"/>
              <w:rPr>
                <w:sz w:val="20"/>
                <w:szCs w:val="20"/>
                <w:color w:val="auto"/>
              </w:rPr>
            </w:pPr>
            <w:r>
              <w:rPr>
                <w:rFonts w:ascii="Arial" w:cs="Arial" w:eastAsia="Arial" w:hAnsi="Arial"/>
                <w:sz w:val="20"/>
                <w:szCs w:val="20"/>
                <w:color w:val="auto"/>
                <w:w w:val="97"/>
              </w:rPr>
              <w:t>Hyundai Motor Co.</w:t>
            </w:r>
          </w:p>
        </w:tc>
        <w:tc>
          <w:tcPr>
            <w:tcW w:w="3460" w:type="dxa"/>
            <w:vAlign w:val="bottom"/>
          </w:tcPr>
          <w:p>
            <w:pPr>
              <w:jc w:val="center"/>
              <w:ind w:left="22"/>
              <w:spacing w:after="0"/>
              <w:rPr>
                <w:sz w:val="20"/>
                <w:szCs w:val="20"/>
                <w:color w:val="auto"/>
              </w:rPr>
            </w:pPr>
            <w:r>
              <w:rPr>
                <w:rFonts w:ascii="Arial" w:cs="Arial" w:eastAsia="Arial" w:hAnsi="Arial"/>
                <w:sz w:val="20"/>
                <w:szCs w:val="20"/>
                <w:color w:val="auto"/>
                <w:w w:val="96"/>
              </w:rPr>
              <w:t>Renault SA</w:t>
            </w:r>
          </w:p>
        </w:tc>
      </w:tr>
      <w:tr>
        <w:trPr>
          <w:trHeight w:val="62"/>
        </w:trPr>
        <w:tc>
          <w:tcPr>
            <w:tcW w:w="370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92"/>
        </w:trPr>
        <w:tc>
          <w:tcPr>
            <w:tcW w:w="3700" w:type="dxa"/>
            <w:vAlign w:val="bottom"/>
          </w:tcPr>
          <w:p>
            <w:pPr>
              <w:jc w:val="center"/>
              <w:ind w:right="162"/>
              <w:spacing w:after="0"/>
              <w:rPr>
                <w:sz w:val="20"/>
                <w:szCs w:val="20"/>
                <w:color w:val="auto"/>
              </w:rPr>
            </w:pPr>
            <w:r>
              <w:rPr>
                <w:rFonts w:ascii="Arial" w:cs="Arial" w:eastAsia="Arial" w:hAnsi="Arial"/>
                <w:sz w:val="20"/>
                <w:szCs w:val="20"/>
                <w:color w:val="auto"/>
                <w:w w:val="96"/>
              </w:rPr>
              <w:t>Daimler AG</w:t>
            </w:r>
          </w:p>
        </w:tc>
        <w:tc>
          <w:tcPr>
            <w:tcW w:w="3260" w:type="dxa"/>
            <w:vAlign w:val="bottom"/>
          </w:tcPr>
          <w:p>
            <w:pPr>
              <w:jc w:val="center"/>
              <w:ind w:right="22"/>
              <w:spacing w:after="0"/>
              <w:rPr>
                <w:sz w:val="20"/>
                <w:szCs w:val="20"/>
                <w:color w:val="auto"/>
              </w:rPr>
            </w:pPr>
            <w:r>
              <w:rPr>
                <w:rFonts w:ascii="Arial" w:cs="Arial" w:eastAsia="Arial" w:hAnsi="Arial"/>
                <w:sz w:val="20"/>
                <w:szCs w:val="20"/>
                <w:color w:val="auto"/>
                <w:w w:val="97"/>
              </w:rPr>
              <w:t>Kia Motors Corp.</w:t>
            </w:r>
          </w:p>
        </w:tc>
        <w:tc>
          <w:tcPr>
            <w:tcW w:w="3460" w:type="dxa"/>
            <w:vAlign w:val="bottom"/>
          </w:tcPr>
          <w:p>
            <w:pPr>
              <w:jc w:val="center"/>
              <w:ind w:left="2"/>
              <w:spacing w:after="0"/>
              <w:rPr>
                <w:sz w:val="20"/>
                <w:szCs w:val="20"/>
                <w:color w:val="auto"/>
              </w:rPr>
            </w:pPr>
            <w:r>
              <w:rPr>
                <w:rFonts w:ascii="Arial" w:cs="Arial" w:eastAsia="Arial" w:hAnsi="Arial"/>
                <w:sz w:val="20"/>
                <w:szCs w:val="20"/>
                <w:color w:val="auto"/>
                <w:w w:val="98"/>
              </w:rPr>
              <w:t>Suzuki Motor Corp.</w:t>
            </w:r>
          </w:p>
        </w:tc>
      </w:tr>
      <w:tr>
        <w:trPr>
          <w:trHeight w:val="62"/>
        </w:trPr>
        <w:tc>
          <w:tcPr>
            <w:tcW w:w="370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92"/>
        </w:trPr>
        <w:tc>
          <w:tcPr>
            <w:tcW w:w="3700" w:type="dxa"/>
            <w:vAlign w:val="bottom"/>
          </w:tcPr>
          <w:p>
            <w:pPr>
              <w:jc w:val="center"/>
              <w:ind w:right="162"/>
              <w:spacing w:after="0"/>
              <w:rPr>
                <w:sz w:val="20"/>
                <w:szCs w:val="20"/>
                <w:color w:val="auto"/>
              </w:rPr>
            </w:pPr>
            <w:r>
              <w:rPr>
                <w:rFonts w:ascii="Arial" w:cs="Arial" w:eastAsia="Arial" w:hAnsi="Arial"/>
                <w:sz w:val="20"/>
                <w:szCs w:val="20"/>
                <w:color w:val="auto"/>
                <w:w w:val="97"/>
              </w:rPr>
              <w:t>Fiat Chrysler Automobiles NV</w:t>
            </w:r>
          </w:p>
        </w:tc>
        <w:tc>
          <w:tcPr>
            <w:tcW w:w="3260" w:type="dxa"/>
            <w:vAlign w:val="bottom"/>
          </w:tcPr>
          <w:p>
            <w:pPr>
              <w:jc w:val="center"/>
              <w:ind w:right="22"/>
              <w:spacing w:after="0"/>
              <w:rPr>
                <w:sz w:val="20"/>
                <w:szCs w:val="20"/>
                <w:color w:val="auto"/>
              </w:rPr>
            </w:pPr>
            <w:r>
              <w:rPr>
                <w:rFonts w:ascii="Arial" w:cs="Arial" w:eastAsia="Arial" w:hAnsi="Arial"/>
                <w:sz w:val="20"/>
                <w:szCs w:val="20"/>
                <w:color w:val="auto"/>
                <w:w w:val="96"/>
              </w:rPr>
              <w:t>Mazda Motor Corp.</w:t>
            </w:r>
          </w:p>
        </w:tc>
        <w:tc>
          <w:tcPr>
            <w:tcW w:w="3460" w:type="dxa"/>
            <w:vAlign w:val="bottom"/>
          </w:tcPr>
          <w:p>
            <w:pPr>
              <w:jc w:val="center"/>
              <w:ind w:left="2"/>
              <w:spacing w:after="0"/>
              <w:rPr>
                <w:sz w:val="20"/>
                <w:szCs w:val="20"/>
                <w:color w:val="auto"/>
              </w:rPr>
            </w:pPr>
            <w:r>
              <w:rPr>
                <w:rFonts w:ascii="Arial" w:cs="Arial" w:eastAsia="Arial" w:hAnsi="Arial"/>
                <w:sz w:val="20"/>
                <w:szCs w:val="20"/>
                <w:color w:val="auto"/>
                <w:w w:val="95"/>
              </w:rPr>
              <w:t>Tesla, Inc.</w:t>
            </w:r>
          </w:p>
        </w:tc>
      </w:tr>
      <w:tr>
        <w:trPr>
          <w:trHeight w:val="62"/>
        </w:trPr>
        <w:tc>
          <w:tcPr>
            <w:tcW w:w="370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92"/>
        </w:trPr>
        <w:tc>
          <w:tcPr>
            <w:tcW w:w="3700" w:type="dxa"/>
            <w:vAlign w:val="bottom"/>
          </w:tcPr>
          <w:p>
            <w:pPr>
              <w:jc w:val="center"/>
              <w:ind w:right="162"/>
              <w:spacing w:after="0"/>
              <w:rPr>
                <w:sz w:val="20"/>
                <w:szCs w:val="20"/>
                <w:color w:val="auto"/>
              </w:rPr>
            </w:pPr>
            <w:r>
              <w:rPr>
                <w:rFonts w:ascii="Arial" w:cs="Arial" w:eastAsia="Arial" w:hAnsi="Arial"/>
                <w:sz w:val="20"/>
                <w:szCs w:val="20"/>
                <w:color w:val="auto"/>
                <w:w w:val="97"/>
              </w:rPr>
              <w:t>Ford Motor Company</w:t>
            </w:r>
          </w:p>
        </w:tc>
        <w:tc>
          <w:tcPr>
            <w:tcW w:w="3260" w:type="dxa"/>
            <w:vAlign w:val="bottom"/>
          </w:tcPr>
          <w:p>
            <w:pPr>
              <w:jc w:val="center"/>
              <w:ind w:right="2"/>
              <w:spacing w:after="0"/>
              <w:rPr>
                <w:sz w:val="20"/>
                <w:szCs w:val="20"/>
                <w:color w:val="auto"/>
              </w:rPr>
            </w:pPr>
            <w:r>
              <w:rPr>
                <w:rFonts w:ascii="Arial" w:cs="Arial" w:eastAsia="Arial" w:hAnsi="Arial"/>
                <w:sz w:val="20"/>
                <w:szCs w:val="20"/>
                <w:color w:val="auto"/>
                <w:w w:val="97"/>
              </w:rPr>
              <w:t>Nissan Motor Co. Ltd</w:t>
            </w:r>
          </w:p>
        </w:tc>
        <w:tc>
          <w:tcPr>
            <w:tcW w:w="3460" w:type="dxa"/>
            <w:vAlign w:val="bottom"/>
          </w:tcPr>
          <w:p>
            <w:pPr>
              <w:jc w:val="center"/>
              <w:ind w:left="22"/>
              <w:spacing w:after="0"/>
              <w:rPr>
                <w:sz w:val="20"/>
                <w:szCs w:val="20"/>
                <w:color w:val="auto"/>
              </w:rPr>
            </w:pPr>
            <w:r>
              <w:rPr>
                <w:rFonts w:ascii="Arial" w:cs="Arial" w:eastAsia="Arial" w:hAnsi="Arial"/>
                <w:sz w:val="20"/>
                <w:szCs w:val="20"/>
                <w:color w:val="auto"/>
                <w:w w:val="96"/>
              </w:rPr>
              <w:t>Toyota Motor Company</w:t>
            </w:r>
          </w:p>
        </w:tc>
      </w:tr>
      <w:tr>
        <w:trPr>
          <w:trHeight w:val="62"/>
        </w:trPr>
        <w:tc>
          <w:tcPr>
            <w:tcW w:w="370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r>
      <w:tr>
        <w:trPr>
          <w:trHeight w:val="292"/>
        </w:trPr>
        <w:tc>
          <w:tcPr>
            <w:tcW w:w="3700" w:type="dxa"/>
            <w:vAlign w:val="bottom"/>
          </w:tcPr>
          <w:p>
            <w:pPr>
              <w:jc w:val="center"/>
              <w:ind w:right="162"/>
              <w:spacing w:after="0"/>
              <w:rPr>
                <w:sz w:val="20"/>
                <w:szCs w:val="20"/>
                <w:color w:val="auto"/>
              </w:rPr>
            </w:pPr>
            <w:r>
              <w:rPr>
                <w:rFonts w:ascii="Arial" w:cs="Arial" w:eastAsia="Arial" w:hAnsi="Arial"/>
                <w:sz w:val="20"/>
                <w:szCs w:val="20"/>
                <w:color w:val="auto"/>
                <w:w w:val="98"/>
              </w:rPr>
              <w:t>Honda Motor Co. Ltd.</w:t>
            </w:r>
          </w:p>
        </w:tc>
        <w:tc>
          <w:tcPr>
            <w:tcW w:w="3260" w:type="dxa"/>
            <w:vAlign w:val="bottom"/>
          </w:tcPr>
          <w:p>
            <w:pPr>
              <w:jc w:val="center"/>
              <w:ind w:right="22"/>
              <w:spacing w:after="0"/>
              <w:rPr>
                <w:sz w:val="20"/>
                <w:szCs w:val="20"/>
                <w:color w:val="auto"/>
              </w:rPr>
            </w:pPr>
            <w:r>
              <w:rPr>
                <w:rFonts w:ascii="Arial" w:cs="Arial" w:eastAsia="Arial" w:hAnsi="Arial"/>
                <w:sz w:val="20"/>
                <w:szCs w:val="20"/>
                <w:color w:val="auto"/>
                <w:w w:val="99"/>
              </w:rPr>
              <w:t>Peugeot SA</w:t>
            </w:r>
          </w:p>
        </w:tc>
        <w:tc>
          <w:tcPr>
            <w:tcW w:w="3460" w:type="dxa"/>
            <w:vAlign w:val="bottom"/>
          </w:tcPr>
          <w:p>
            <w:pPr>
              <w:jc w:val="center"/>
              <w:ind w:left="22"/>
              <w:spacing w:after="0"/>
              <w:rPr>
                <w:sz w:val="20"/>
                <w:szCs w:val="20"/>
                <w:color w:val="auto"/>
              </w:rPr>
            </w:pPr>
            <w:r>
              <w:rPr>
                <w:rFonts w:ascii="Arial" w:cs="Arial" w:eastAsia="Arial" w:hAnsi="Arial"/>
                <w:sz w:val="20"/>
                <w:szCs w:val="20"/>
                <w:color w:val="auto"/>
                <w:w w:val="96"/>
              </w:rPr>
              <w:t>Volkswagen AG</w:t>
            </w:r>
          </w:p>
        </w:tc>
      </w:tr>
    </w:tbl>
    <w:p>
      <w:pPr>
        <w:spacing w:after="0" w:line="137" w:lineRule="exact"/>
        <w:rPr>
          <w:sz w:val="20"/>
          <w:szCs w:val="20"/>
          <w:color w:val="auto"/>
        </w:rPr>
      </w:pPr>
    </w:p>
    <w:p>
      <w:pPr>
        <w:ind w:left="940" w:right="120" w:hanging="532"/>
        <w:spacing w:after="0" w:line="260" w:lineRule="auto"/>
        <w:tabs>
          <w:tab w:leader="none" w:pos="94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GM is a member of the Dow Jones Automobiles &amp; Parts Titans 30 Index. Our performance will be determined on a continuous ranking for performance relative to OEM peers following the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381000</wp:posOffset>
            </wp:positionV>
            <wp:extent cx="6793865" cy="101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42</w:t>
      </w:r>
    </w:p>
    <w:p>
      <w:pPr>
        <w:sectPr>
          <w:pgSz w:w="11900" w:h="16838" w:orient="portrait"/>
          <w:cols w:equalWidth="0" w:num="1">
            <w:col w:w="10840"/>
          </w:cols>
          <w:pgMar w:left="320" w:top="456" w:right="7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7495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38010" cy="7749540"/>
                    </a:xfrm>
                    <a:prstGeom prst="rect">
                      <a:avLst/>
                    </a:prstGeom>
                    <a:noFill/>
                  </pic:spPr>
                </pic:pic>
              </a:graphicData>
            </a:graphic>
          </wp:anchor>
        </w:drawing>
      </w:r>
    </w:p>
    <w:p>
      <w:pPr>
        <w:spacing w:after="0" w:line="382" w:lineRule="exact"/>
        <w:rPr>
          <w:sz w:val="20"/>
          <w:szCs w:val="20"/>
          <w:color w:val="auto"/>
        </w:rPr>
      </w:pPr>
    </w:p>
    <w:p>
      <w:pPr>
        <w:ind w:left="860" w:hanging="503"/>
        <w:spacing w:after="0"/>
        <w:tabs>
          <w:tab w:leader="none" w:pos="860" w:val="left"/>
        </w:tabs>
        <w:numPr>
          <w:ilvl w:val="0"/>
          <w:numId w:val="53"/>
        </w:numPr>
        <w:rPr>
          <w:rFonts w:ascii="Arial" w:cs="Arial" w:eastAsia="Arial" w:hAnsi="Arial"/>
          <w:sz w:val="25"/>
          <w:szCs w:val="25"/>
          <w:color w:val="0033A0"/>
        </w:rPr>
      </w:pPr>
      <w:r>
        <w:rPr>
          <w:rFonts w:ascii="Arial" w:cs="Arial" w:eastAsia="Arial" w:hAnsi="Arial"/>
          <w:sz w:val="25"/>
          <w:szCs w:val="25"/>
          <w:color w:val="auto"/>
        </w:rPr>
        <w:t>Peer Group for Compensation Comparisons</w:t>
      </w:r>
    </w:p>
    <w:p>
      <w:pPr>
        <w:spacing w:after="0" w:line="296" w:lineRule="exact"/>
        <w:rPr>
          <w:sz w:val="20"/>
          <w:szCs w:val="20"/>
          <w:color w:val="auto"/>
        </w:rPr>
      </w:pPr>
    </w:p>
    <w:p>
      <w:pPr>
        <w:jc w:val="both"/>
        <w:ind w:left="360" w:right="220"/>
        <w:spacing w:after="0" w:line="228" w:lineRule="auto"/>
        <w:rPr>
          <w:sz w:val="20"/>
          <w:szCs w:val="20"/>
          <w:color w:val="auto"/>
        </w:rPr>
      </w:pPr>
      <w:r>
        <w:rPr>
          <w:rFonts w:ascii="Arial" w:cs="Arial" w:eastAsia="Arial" w:hAnsi="Arial"/>
          <w:sz w:val="20"/>
          <w:szCs w:val="20"/>
          <w:color w:val="auto"/>
        </w:rPr>
        <w:t>The Compensation Committee annually reviews the peer group for compensation comparisons and makes updates as needed to align with both the established criteria and Company strategy. We do not limit the peer group to our industry alone because we believe compensation practices for NEOs at other large U.S.-based multinationals affect our ability to attract and retain diverse talent around the globe.</w:t>
      </w:r>
    </w:p>
    <w:p>
      <w:pPr>
        <w:spacing w:after="0" w:line="116" w:lineRule="exact"/>
        <w:rPr>
          <w:sz w:val="20"/>
          <w:szCs w:val="20"/>
          <w:color w:val="auto"/>
        </w:rPr>
      </w:pPr>
    </w:p>
    <w:p>
      <w:pPr>
        <w:jc w:val="both"/>
        <w:ind w:left="360" w:right="220"/>
        <w:spacing w:after="0" w:line="234" w:lineRule="auto"/>
        <w:rPr>
          <w:sz w:val="20"/>
          <w:szCs w:val="20"/>
          <w:color w:val="auto"/>
        </w:rPr>
      </w:pPr>
      <w:r>
        <w:rPr>
          <w:rFonts w:ascii="Arial" w:cs="Arial" w:eastAsia="Arial" w:hAnsi="Arial"/>
          <w:sz w:val="20"/>
          <w:szCs w:val="20"/>
          <w:color w:val="auto"/>
        </w:rPr>
        <w:t>The Compensation Committee considered the following factors when selecting the peer group used to inform 2019 target compensation levels for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hanging="503"/>
        <w:spacing w:after="0"/>
        <w:tabs>
          <w:tab w:leader="none" w:pos="860" w:val="left"/>
        </w:tabs>
        <w:numPr>
          <w:ilvl w:val="0"/>
          <w:numId w:val="54"/>
        </w:numPr>
        <w:rPr>
          <w:rFonts w:ascii="Arial" w:cs="Arial" w:eastAsia="Arial" w:hAnsi="Arial"/>
          <w:sz w:val="25"/>
          <w:szCs w:val="25"/>
          <w:color w:val="0033A0"/>
        </w:rPr>
      </w:pPr>
      <w:r>
        <w:rPr>
          <w:rFonts w:ascii="Arial" w:cs="Arial" w:eastAsia="Arial" w:hAnsi="Arial"/>
          <w:sz w:val="25"/>
          <w:szCs w:val="25"/>
          <w:color w:val="auto"/>
        </w:rPr>
        <w:t>How We Use Comparator Data to Assess Compensation</w:t>
      </w:r>
    </w:p>
    <w:p>
      <w:pPr>
        <w:spacing w:after="0" w:line="149" w:lineRule="exact"/>
        <w:rPr>
          <w:sz w:val="20"/>
          <w:szCs w:val="20"/>
          <w:color w:val="auto"/>
        </w:rPr>
      </w:pPr>
    </w:p>
    <w:p>
      <w:pPr>
        <w:jc w:val="both"/>
        <w:ind w:left="360" w:right="200"/>
        <w:spacing w:after="0" w:line="227" w:lineRule="auto"/>
        <w:rPr>
          <w:sz w:val="20"/>
          <w:szCs w:val="20"/>
          <w:color w:val="auto"/>
        </w:rPr>
      </w:pPr>
      <w:r>
        <w:rPr>
          <w:rFonts w:ascii="Arial" w:cs="Arial" w:eastAsia="Arial" w:hAnsi="Arial"/>
          <w:sz w:val="20"/>
          <w:szCs w:val="20"/>
          <w:color w:val="auto"/>
        </w:rPr>
        <w:t>We benchmark pay practices and compensation levels against the proxy statement disclosures of our peer group. In addition, we use executive compensation surveys composed of a broad array of industrial companies to benchmark relevant market data for executive positions and adjust this data to reflect GM’s size and market expected compensation trends. Furthermore, the Compensation Committee reviews an analysis completed by their independent compensation consultant of the competitive position of each of our executives relative to the benchmark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407035</wp:posOffset>
            </wp:positionV>
            <wp:extent cx="6793865" cy="101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43</w:t>
      </w:r>
    </w:p>
    <w:p>
      <w:pPr>
        <w:sectPr>
          <w:pgSz w:w="11900" w:h="16838" w:orient="portrait"/>
          <w:cols w:equalWidth="0" w:num="1">
            <w:col w:w="11100"/>
          </w:cols>
          <w:pgMar w:left="320" w:top="45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8255</wp:posOffset>
            </wp:positionV>
            <wp:extent cx="6938010" cy="71888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38010" cy="7188835"/>
                    </a:xfrm>
                    <a:prstGeom prst="rect">
                      <a:avLst/>
                    </a:prstGeom>
                    <a:noFill/>
                  </pic:spPr>
                </pic:pic>
              </a:graphicData>
            </a:graphic>
          </wp:anchor>
        </w:drawing>
      </w:r>
    </w:p>
    <w:p>
      <w:pPr>
        <w:spacing w:after="0" w:line="377" w:lineRule="exact"/>
        <w:rPr>
          <w:sz w:val="20"/>
          <w:szCs w:val="20"/>
          <w:color w:val="auto"/>
        </w:rPr>
      </w:pPr>
    </w:p>
    <w:p>
      <w:pPr>
        <w:jc w:val="both"/>
        <w:ind w:left="360" w:right="200"/>
        <w:spacing w:after="0" w:line="228" w:lineRule="auto"/>
        <w:rPr>
          <w:sz w:val="20"/>
          <w:szCs w:val="20"/>
          <w:color w:val="auto"/>
        </w:rPr>
      </w:pPr>
      <w:r>
        <w:rPr>
          <w:rFonts w:ascii="Arial" w:cs="Arial" w:eastAsia="Arial" w:hAnsi="Arial"/>
          <w:sz w:val="20"/>
          <w:szCs w:val="20"/>
          <w:color w:val="auto"/>
        </w:rPr>
        <w:t>We review each element of compensation compared with the market and generally target each element of our total direct compensation (base salary, STIP, and LTIP) for the executive group on average to be at or near the market median. An individual element or an individual’s total direct compensation may be positioned above or below the market median due to considerations such as specific responsibilities, experience, and performance.</w:t>
      </w:r>
    </w:p>
    <w:p>
      <w:pPr>
        <w:spacing w:after="0" w:line="321" w:lineRule="exact"/>
        <w:rPr>
          <w:sz w:val="20"/>
          <w:szCs w:val="20"/>
          <w:color w:val="auto"/>
        </w:rPr>
      </w:pPr>
    </w:p>
    <w:p>
      <w:pPr>
        <w:ind w:left="860" w:hanging="503"/>
        <w:spacing w:after="0"/>
        <w:tabs>
          <w:tab w:leader="none" w:pos="860" w:val="left"/>
        </w:tabs>
        <w:numPr>
          <w:ilvl w:val="0"/>
          <w:numId w:val="55"/>
        </w:numPr>
        <w:rPr>
          <w:rFonts w:ascii="Arial" w:cs="Arial" w:eastAsia="Arial" w:hAnsi="Arial"/>
          <w:sz w:val="25"/>
          <w:szCs w:val="25"/>
          <w:color w:val="0033A0"/>
        </w:rPr>
      </w:pPr>
      <w:r>
        <w:rPr>
          <w:rFonts w:ascii="Arial" w:cs="Arial" w:eastAsia="Arial" w:hAnsi="Arial"/>
          <w:sz w:val="25"/>
          <w:szCs w:val="25"/>
          <w:color w:val="auto"/>
        </w:rPr>
        <w:t>How We Plan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0" w:hanging="503"/>
        <w:spacing w:after="0"/>
        <w:tabs>
          <w:tab w:leader="none" w:pos="860" w:val="left"/>
        </w:tabs>
        <w:numPr>
          <w:ilvl w:val="0"/>
          <w:numId w:val="56"/>
        </w:numPr>
        <w:rPr>
          <w:rFonts w:ascii="Arial" w:cs="Arial" w:eastAsia="Arial" w:hAnsi="Arial"/>
          <w:sz w:val="25"/>
          <w:szCs w:val="25"/>
          <w:color w:val="0033A0"/>
        </w:rPr>
      </w:pPr>
      <w:r>
        <w:rPr>
          <w:rFonts w:ascii="Arial" w:cs="Arial" w:eastAsia="Arial" w:hAnsi="Arial"/>
          <w:sz w:val="25"/>
          <w:szCs w:val="25"/>
          <w:color w:val="auto"/>
        </w:rPr>
        <w:t>Performance-Based Compensation Structure</w:t>
      </w:r>
    </w:p>
    <w:p>
      <w:pPr>
        <w:spacing w:after="0" w:line="149" w:lineRule="exact"/>
        <w:rPr>
          <w:sz w:val="20"/>
          <w:szCs w:val="20"/>
          <w:color w:val="auto"/>
        </w:rPr>
      </w:pPr>
    </w:p>
    <w:p>
      <w:pPr>
        <w:jc w:val="both"/>
        <w:ind w:left="360" w:right="180"/>
        <w:spacing w:after="0" w:line="227" w:lineRule="auto"/>
        <w:rPr>
          <w:sz w:val="20"/>
          <w:szCs w:val="20"/>
          <w:color w:val="auto"/>
        </w:rPr>
      </w:pPr>
      <w:r>
        <w:rPr>
          <w:rFonts w:ascii="Arial" w:cs="Arial" w:eastAsia="Arial" w:hAnsi="Arial"/>
          <w:sz w:val="20"/>
          <w:szCs w:val="20"/>
          <w:color w:val="auto"/>
        </w:rPr>
        <w:t>Our incentive plans are designed to optimize long-term financial returns for our shareholders and reward our NEOs for increased profitability, improving margins, placing our customers at the center of everything we do, growing the business, and driving innovation. The performance-based structure for 2019 incorporated short-term and long-term incentives tied to financial and operational metrics to drive Company performance for fiscal year 2019 and beyond. The Compensation Committee believes a majority of compensation opportunity should be in the form of equity to align the interests of executives with those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44 </w:t>
      </w:r>
      <w:r>
        <w:rPr>
          <w:sz w:val="1"/>
          <w:szCs w:val="1"/>
          <w:color w:val="auto"/>
        </w:rPr>
        <w:drawing>
          <wp:inline distT="0" distB="0" distL="0" distR="0">
            <wp:extent cx="6793865" cy="1016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Compensation Principles</w:t>
      </w:r>
    </w:p>
    <w:p>
      <w:pPr>
        <w:sectPr>
          <w:pgSz w:w="11900" w:h="16838" w:orient="portrait"/>
          <w:cols w:equalWidth="0" w:num="1">
            <w:col w:w="11100"/>
          </w:cols>
          <w:pgMar w:left="320" w:top="456" w:right="479" w:bottom="1440" w:gutter="0" w:footer="0" w:header="0"/>
        </w:sectPr>
      </w:pP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auto"/>
        </w:rPr>
        <w:t>The compensation provided to our senior leaders is guided by pay-for-performance and the following principles:</w:t>
      </w:r>
    </w:p>
    <w:p>
      <w:pPr>
        <w:spacing w:after="0" w:line="103"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33A0"/>
        </w:rPr>
        <w:t xml:space="preserve">Aligned with Shareholders </w:t>
      </w:r>
      <w:r>
        <w:rPr>
          <w:rFonts w:ascii="Arial" w:cs="Arial" w:eastAsia="Arial" w:hAnsi="Arial"/>
          <w:sz w:val="20"/>
          <w:szCs w:val="20"/>
          <w:color w:val="000000"/>
        </w:rPr>
        <w:t>– Compensation paid should</w:t>
      </w:r>
      <w:r>
        <w:rPr>
          <w:rFonts w:ascii="Arial" w:cs="Arial" w:eastAsia="Arial" w:hAnsi="Arial"/>
          <w:sz w:val="20"/>
          <w:szCs w:val="20"/>
          <w:b w:val="1"/>
          <w:bCs w:val="1"/>
          <w:color w:val="0033A0"/>
        </w:rPr>
        <w:t xml:space="preserve"> </w:t>
      </w:r>
      <w:r>
        <w:rPr>
          <w:rFonts w:ascii="Arial" w:cs="Arial" w:eastAsia="Arial" w:hAnsi="Arial"/>
          <w:sz w:val="20"/>
          <w:szCs w:val="20"/>
          <w:color w:val="000000"/>
        </w:rPr>
        <w:t>align directly with the long-term interests of our shareholders, and our executives should share with them in the performance and value of our common stock.</w:t>
      </w:r>
    </w:p>
    <w:p>
      <w:pPr>
        <w:spacing w:after="0" w:line="8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33A0"/>
        </w:rPr>
        <w:t xml:space="preserve">Enable Company Strategy </w:t>
      </w:r>
      <w:r>
        <w:rPr>
          <w:rFonts w:ascii="Arial" w:cs="Arial" w:eastAsia="Arial" w:hAnsi="Arial"/>
          <w:sz w:val="20"/>
          <w:szCs w:val="20"/>
          <w:color w:val="000000"/>
        </w:rPr>
        <w:t>– Compensation should be</w:t>
      </w:r>
      <w:r>
        <w:rPr>
          <w:rFonts w:ascii="Arial" w:cs="Arial" w:eastAsia="Arial" w:hAnsi="Arial"/>
          <w:sz w:val="20"/>
          <w:szCs w:val="20"/>
          <w:b w:val="1"/>
          <w:bCs w:val="1"/>
          <w:color w:val="0033A0"/>
        </w:rPr>
        <w:t xml:space="preserve"> </w:t>
      </w:r>
      <w:r>
        <w:rPr>
          <w:rFonts w:ascii="Arial" w:cs="Arial" w:eastAsia="Arial" w:hAnsi="Arial"/>
          <w:sz w:val="20"/>
          <w:szCs w:val="20"/>
          <w:color w:val="000000"/>
        </w:rPr>
        <w:t>based on challenging Company performance and strategic goals, which are within our executive’s control and reward performance aligned with GM’s strategy, values, and expected behaviors.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color w:val="0033A0"/>
        </w:rPr>
        <w:t xml:space="preserve">Competitive Compensation </w:t>
      </w:r>
      <w:r>
        <w:rPr>
          <w:rFonts w:ascii="Arial" w:cs="Arial" w:eastAsia="Arial" w:hAnsi="Arial"/>
          <w:sz w:val="20"/>
          <w:szCs w:val="20"/>
          <w:color w:val="000000"/>
        </w:rPr>
        <w:t>– Target compensation should</w:t>
      </w:r>
      <w:r>
        <w:rPr>
          <w:rFonts w:ascii="Arial" w:cs="Arial" w:eastAsia="Arial" w:hAnsi="Arial"/>
          <w:sz w:val="20"/>
          <w:szCs w:val="20"/>
          <w:b w:val="1"/>
          <w:bCs w:val="1"/>
          <w:color w:val="0033A0"/>
        </w:rPr>
        <w:t xml:space="preserve"> </w:t>
      </w:r>
      <w:r>
        <w:rPr>
          <w:rFonts w:ascii="Arial" w:cs="Arial" w:eastAsia="Arial" w:hAnsi="Arial"/>
          <w:sz w:val="20"/>
          <w:szCs w:val="20"/>
          <w:color w:val="000000"/>
        </w:rPr>
        <w:t>have an appropriate mix of short-term and long-term pay elements and should be competitive (market median) with that paid to individuals at peer group companies so that it attracts, motivates, and retains talent.</w:t>
      </w:r>
    </w:p>
    <w:p>
      <w:pPr>
        <w:spacing w:after="0" w:line="105"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b w:val="1"/>
          <w:bCs w:val="1"/>
          <w:color w:val="0033A0"/>
        </w:rPr>
        <w:t xml:space="preserve">Avoid Excessive Risk Taking </w:t>
      </w:r>
      <w:r>
        <w:rPr>
          <w:rFonts w:ascii="Arial" w:cs="Arial" w:eastAsia="Arial" w:hAnsi="Arial"/>
          <w:sz w:val="20"/>
          <w:szCs w:val="20"/>
          <w:color w:val="000000"/>
        </w:rPr>
        <w:t>– Compensation structure</w:t>
      </w:r>
      <w:r>
        <w:rPr>
          <w:rFonts w:ascii="Arial" w:cs="Arial" w:eastAsia="Arial" w:hAnsi="Arial"/>
          <w:sz w:val="20"/>
          <w:szCs w:val="20"/>
          <w:b w:val="1"/>
          <w:bCs w:val="1"/>
          <w:color w:val="0033A0"/>
        </w:rPr>
        <w:t xml:space="preserve"> </w:t>
      </w:r>
      <w:r>
        <w:rPr>
          <w:rFonts w:ascii="Arial" w:cs="Arial" w:eastAsia="Arial" w:hAnsi="Arial"/>
          <w:sz w:val="20"/>
          <w:szCs w:val="20"/>
          <w:color w:val="000000"/>
        </w:rPr>
        <w:t>should avoid incentives to take unnecessary and excessive risk.</w:t>
      </w:r>
    </w:p>
    <w:p>
      <w:pPr>
        <w:spacing w:after="0" w:line="89"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b w:val="1"/>
          <w:bCs w:val="1"/>
          <w:color w:val="0033A0"/>
        </w:rPr>
        <w:t xml:space="preserve">Simple Design </w:t>
      </w:r>
      <w:r>
        <w:rPr>
          <w:rFonts w:ascii="Arial" w:cs="Arial" w:eastAsia="Arial" w:hAnsi="Arial"/>
          <w:sz w:val="20"/>
          <w:szCs w:val="20"/>
          <w:color w:val="000000"/>
        </w:rPr>
        <w:t>– Compensation plans should be easy to</w:t>
      </w:r>
      <w:r>
        <w:rPr>
          <w:rFonts w:ascii="Arial" w:cs="Arial" w:eastAsia="Arial" w:hAnsi="Arial"/>
          <w:sz w:val="20"/>
          <w:szCs w:val="20"/>
          <w:b w:val="1"/>
          <w:bCs w:val="1"/>
          <w:color w:val="0033A0"/>
        </w:rPr>
        <w:t xml:space="preserve"> </w:t>
      </w:r>
      <w:r>
        <w:rPr>
          <w:rFonts w:ascii="Arial" w:cs="Arial" w:eastAsia="Arial" w:hAnsi="Arial"/>
          <w:sz w:val="20"/>
          <w:szCs w:val="20"/>
          <w:color w:val="000000"/>
        </w:rPr>
        <w:t>understand and communicate and minimize unintended consequences.</w:t>
      </w:r>
    </w:p>
    <w:p>
      <w:pPr>
        <w:spacing w:after="0" w:line="200"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Compensation Elements</w:t>
      </w:r>
    </w:p>
    <w:p>
      <w:pPr>
        <w:spacing w:after="0" w:line="155" w:lineRule="exact"/>
        <w:rPr>
          <w:sz w:val="20"/>
          <w:szCs w:val="20"/>
          <w:color w:val="auto"/>
        </w:rPr>
      </w:pPr>
    </w:p>
    <w:p>
      <w:pPr>
        <w:ind w:left="700" w:hanging="533"/>
        <w:spacing w:after="0"/>
        <w:tabs>
          <w:tab w:leader="none" w:pos="700" w:val="left"/>
        </w:tabs>
        <w:numPr>
          <w:ilvl w:val="0"/>
          <w:numId w:val="57"/>
        </w:numPr>
        <w:rPr>
          <w:rFonts w:ascii="Arial" w:cs="Arial" w:eastAsia="Arial" w:hAnsi="Arial"/>
          <w:sz w:val="25"/>
          <w:szCs w:val="25"/>
          <w:color w:val="0033A0"/>
        </w:rPr>
      </w:pPr>
      <w:r>
        <w:rPr>
          <w:rFonts w:ascii="Arial" w:cs="Arial" w:eastAsia="Arial" w:hAnsi="Arial"/>
          <w:sz w:val="25"/>
          <w:szCs w:val="25"/>
          <w:color w:val="auto"/>
        </w:rPr>
        <w:t>Compensation Structure</w:t>
      </w:r>
    </w:p>
    <w:p>
      <w:pPr>
        <w:spacing w:after="0" w:line="149"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The 2019 compensation structure is market competitive with each pay element targeted at or near the market median and included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142240</wp:posOffset>
            </wp:positionV>
            <wp:extent cx="6114415" cy="28873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14415"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hanging="533"/>
        <w:spacing w:after="0"/>
        <w:tabs>
          <w:tab w:leader="none" w:pos="700" w:val="left"/>
        </w:tabs>
        <w:numPr>
          <w:ilvl w:val="0"/>
          <w:numId w:val="58"/>
        </w:numPr>
        <w:rPr>
          <w:rFonts w:ascii="Arial" w:cs="Arial" w:eastAsia="Arial" w:hAnsi="Arial"/>
          <w:sz w:val="25"/>
          <w:szCs w:val="25"/>
          <w:color w:val="0033A0"/>
        </w:rPr>
      </w:pPr>
      <w:r>
        <w:rPr>
          <w:rFonts w:ascii="Arial" w:cs="Arial" w:eastAsia="Arial" w:hAnsi="Arial"/>
          <w:sz w:val="25"/>
          <w:szCs w:val="25"/>
          <w:color w:val="auto"/>
        </w:rPr>
        <w:t>Perquisites and Other Compensation</w:t>
      </w:r>
    </w:p>
    <w:p>
      <w:pPr>
        <w:spacing w:after="0" w:line="135"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We provide perquisites and other compensation to our NEOs consistent with market practices. The following perquisites and other compensation were provided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45</w:t>
      </w:r>
    </w:p>
    <w:p>
      <w:pPr>
        <w:sectPr>
          <w:pgSz w:w="11900" w:h="16838" w:orient="portrait"/>
          <w:cols w:equalWidth="0" w:num="1">
            <w:col w:w="11100"/>
          </w:cols>
          <w:pgMar w:left="320" w:top="456" w:right="4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spacing w:after="0" w:line="229" w:lineRule="auto"/>
        <w:rPr>
          <w:sz w:val="20"/>
          <w:szCs w:val="20"/>
          <w:color w:val="auto"/>
        </w:rPr>
      </w:pPr>
      <w:r>
        <w:rPr>
          <w:rFonts w:ascii="Arial" w:cs="Arial" w:eastAsia="Arial" w:hAnsi="Arial"/>
          <w:sz w:val="20"/>
          <w:szCs w:val="20"/>
          <w:b w:val="1"/>
          <w:bCs w:val="1"/>
          <w:color w:val="0033A0"/>
        </w:rPr>
        <w:t xml:space="preserve">Personal Air Travel </w:t>
      </w:r>
      <w:r>
        <w:rPr>
          <w:rFonts w:ascii="Arial" w:cs="Arial" w:eastAsia="Arial" w:hAnsi="Arial"/>
          <w:sz w:val="20"/>
          <w:szCs w:val="20"/>
          <w:color w:val="000000"/>
        </w:rPr>
        <w:t>– Ms. Barra is prohibited by Company policy from commercial air travel for both business and personal</w:t>
      </w:r>
      <w:r>
        <w:rPr>
          <w:rFonts w:ascii="Arial" w:cs="Arial" w:eastAsia="Arial" w:hAnsi="Arial"/>
          <w:sz w:val="20"/>
          <w:szCs w:val="20"/>
          <w:b w:val="1"/>
          <w:bCs w:val="1"/>
          <w:color w:val="0033A0"/>
        </w:rPr>
        <w:t xml:space="preserve"> </w:t>
      </w:r>
      <w:r>
        <w:rPr>
          <w:rFonts w:ascii="Arial" w:cs="Arial" w:eastAsia="Arial" w:hAnsi="Arial"/>
          <w:sz w:val="20"/>
          <w:szCs w:val="20"/>
          <w:color w:val="000000"/>
        </w:rPr>
        <w:t>use due to security reasons identified by an independent third-party security consultant. As a result, the Company pays the costs associated with the use of aircraft for both business and personal use. In 2019, the Company entered into a time-sharing arrangement with Ms. Barra to allow her to reimburse the Company for her personal use of aircraft, subject to limits under the Federal Aviation Administration regulations. Other NEOs may travel on company aircraft in certain circumstances with prior approval from the CEO or the Senior Vice President, Global Human Resources. No NEOs, other than the CEO, had personal use of aircraft in 2019. All NEOs, including our CEO, incur imputed income when aircraft is used for personal travel and do not receive any tax gross ups.</w:t>
      </w:r>
    </w:p>
    <w:p>
      <w:pPr>
        <w:spacing w:after="0" w:line="103"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33A0"/>
        </w:rPr>
        <w:t xml:space="preserve">Company Vehicle Programs </w:t>
      </w:r>
      <w:r>
        <w:rPr>
          <w:rFonts w:ascii="Arial" w:cs="Arial" w:eastAsia="Arial" w:hAnsi="Arial"/>
          <w:sz w:val="20"/>
          <w:szCs w:val="20"/>
          <w:color w:val="000000"/>
        </w:rPr>
        <w:t>– NEOs are eligible to participate in the Executive Company Vehicle Program and may use</w:t>
      </w:r>
      <w:r>
        <w:rPr>
          <w:rFonts w:ascii="Arial" w:cs="Arial" w:eastAsia="Arial" w:hAnsi="Arial"/>
          <w:sz w:val="20"/>
          <w:szCs w:val="20"/>
          <w:b w:val="1"/>
          <w:bCs w:val="1"/>
          <w:color w:val="0033A0"/>
        </w:rPr>
        <w:t xml:space="preserve"> </w:t>
      </w:r>
      <w:r>
        <w:rPr>
          <w:rFonts w:ascii="Arial" w:cs="Arial" w:eastAsia="Arial" w:hAnsi="Arial"/>
          <w:sz w:val="20"/>
          <w:szCs w:val="20"/>
          <w:color w:val="000000"/>
        </w:rPr>
        <w:t>evaluation vehicles for the purpose of providing feedback on Company products. In addition, NEOs are eligible to use driver services provided by the Company and in accordance with Company policies.</w:t>
      </w:r>
    </w:p>
    <w:p>
      <w:pPr>
        <w:spacing w:after="0" w:line="89"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33A0"/>
        </w:rPr>
        <w:t xml:space="preserve">Security </w:t>
      </w:r>
      <w:r>
        <w:rPr>
          <w:rFonts w:ascii="Arial" w:cs="Arial" w:eastAsia="Arial" w:hAnsi="Arial"/>
          <w:sz w:val="20"/>
          <w:szCs w:val="20"/>
          <w:color w:val="000000"/>
        </w:rPr>
        <w:t>– NEOs may receive security services, including home security systems and monitoring, for specific security-related</w:t>
      </w:r>
      <w:r>
        <w:rPr>
          <w:rFonts w:ascii="Arial" w:cs="Arial" w:eastAsia="Arial" w:hAnsi="Arial"/>
          <w:sz w:val="20"/>
          <w:szCs w:val="20"/>
          <w:b w:val="1"/>
          <w:bCs w:val="1"/>
          <w:color w:val="0033A0"/>
        </w:rPr>
        <w:t xml:space="preserve"> </w:t>
      </w:r>
      <w:r>
        <w:rPr>
          <w:rFonts w:ascii="Arial" w:cs="Arial" w:eastAsia="Arial" w:hAnsi="Arial"/>
          <w:sz w:val="20"/>
          <w:szCs w:val="20"/>
          <w:color w:val="000000"/>
        </w:rPr>
        <w:t>reasons identified by independent third-party security consultants. We maintain security staff in order to provide all employees with a safe and secure environment to align with and reinforce our safety culture.</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33A0"/>
        </w:rPr>
        <w:t xml:space="preserve">Financial Counseling </w:t>
      </w:r>
      <w:r>
        <w:rPr>
          <w:rFonts w:ascii="Arial" w:cs="Arial" w:eastAsia="Arial" w:hAnsi="Arial"/>
          <w:sz w:val="20"/>
          <w:szCs w:val="20"/>
          <w:color w:val="000000"/>
        </w:rPr>
        <w:t>– NEOs are eligible to receive financial counseling, estate planning, and tax preparation services</w:t>
      </w:r>
      <w:r>
        <w:rPr>
          <w:rFonts w:ascii="Arial" w:cs="Arial" w:eastAsia="Arial" w:hAnsi="Arial"/>
          <w:sz w:val="20"/>
          <w:szCs w:val="20"/>
          <w:b w:val="1"/>
          <w:bCs w:val="1"/>
          <w:color w:val="0033A0"/>
        </w:rPr>
        <w:t xml:space="preserve"> </w:t>
      </w:r>
      <w:r>
        <w:rPr>
          <w:rFonts w:ascii="Arial" w:cs="Arial" w:eastAsia="Arial" w:hAnsi="Arial"/>
          <w:sz w:val="20"/>
          <w:szCs w:val="20"/>
          <w:color w:val="000000"/>
        </w:rPr>
        <w:t>through an approved provider. These services allow our NEOs to focus on Company business and ensure accurate personal tax reporting.</w:t>
      </w:r>
    </w:p>
    <w:p>
      <w:pPr>
        <w:spacing w:after="0" w:line="102"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33A0"/>
        </w:rPr>
        <w:t xml:space="preserve">Executive Physicals </w:t>
      </w:r>
      <w:r>
        <w:rPr>
          <w:rFonts w:ascii="Arial" w:cs="Arial" w:eastAsia="Arial" w:hAnsi="Arial"/>
          <w:sz w:val="20"/>
          <w:szCs w:val="20"/>
          <w:color w:val="000000"/>
        </w:rPr>
        <w:t>– All employees are encouraged to complete an annual physical. NEOs are eligible to receive a</w:t>
      </w:r>
      <w:r>
        <w:rPr>
          <w:rFonts w:ascii="Arial" w:cs="Arial" w:eastAsia="Arial" w:hAnsi="Arial"/>
          <w:sz w:val="20"/>
          <w:szCs w:val="20"/>
          <w:b w:val="1"/>
          <w:bCs w:val="1"/>
          <w:color w:val="0033A0"/>
        </w:rPr>
        <w:t xml:space="preserve"> </w:t>
      </w:r>
      <w:r>
        <w:rPr>
          <w:rFonts w:ascii="Arial" w:cs="Arial" w:eastAsia="Arial" w:hAnsi="Arial"/>
          <w:sz w:val="20"/>
          <w:szCs w:val="20"/>
          <w:color w:val="000000"/>
        </w:rPr>
        <w:t>comprehensive wellness examination with an approved provider. These wellness visits promote employee well-being and allow employees to take appropriate steps in the event of an illness or medical condition that may impact their ability to perform their duties.</w:t>
      </w:r>
    </w:p>
    <w:p>
      <w:pPr>
        <w:spacing w:after="0" w:line="319" w:lineRule="exact"/>
        <w:rPr>
          <w:sz w:val="20"/>
          <w:szCs w:val="20"/>
          <w:color w:val="auto"/>
        </w:rPr>
      </w:pPr>
    </w:p>
    <w:p>
      <w:pPr>
        <w:ind w:left="700" w:hanging="533"/>
        <w:spacing w:after="0"/>
        <w:tabs>
          <w:tab w:leader="none" w:pos="700" w:val="left"/>
        </w:tabs>
        <w:numPr>
          <w:ilvl w:val="0"/>
          <w:numId w:val="59"/>
        </w:numPr>
        <w:rPr>
          <w:rFonts w:ascii="Arial" w:cs="Arial" w:eastAsia="Arial" w:hAnsi="Arial"/>
          <w:sz w:val="25"/>
          <w:szCs w:val="25"/>
          <w:color w:val="0033A0"/>
        </w:rPr>
      </w:pPr>
      <w:r>
        <w:rPr>
          <w:rFonts w:ascii="Arial" w:cs="Arial" w:eastAsia="Arial" w:hAnsi="Arial"/>
          <w:sz w:val="25"/>
          <w:szCs w:val="25"/>
          <w:color w:val="auto"/>
        </w:rPr>
        <w:t>2019 Target Compensation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target total direct compensation for each NEO in 2019 was as follows: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2080" w:type="dxa"/>
            <w:vAlign w:val="bottom"/>
            <w:tcBorders>
              <w:top w:val="single" w:sz="8" w:color="00A1DF"/>
            </w:tcBorders>
          </w:tcPr>
          <w:p>
            <w:pPr>
              <w:spacing w:after="0"/>
              <w:rPr>
                <w:sz w:val="21"/>
                <w:szCs w:val="21"/>
                <w:color w:val="auto"/>
              </w:rPr>
            </w:pPr>
          </w:p>
        </w:tc>
        <w:tc>
          <w:tcPr>
            <w:tcW w:w="1480" w:type="dxa"/>
            <w:vAlign w:val="bottom"/>
            <w:tcBorders>
              <w:top w:val="single" w:sz="8" w:color="00A1DF"/>
            </w:tcBorders>
          </w:tcPr>
          <w:p>
            <w:pPr>
              <w:spacing w:after="0"/>
              <w:rPr>
                <w:sz w:val="21"/>
                <w:szCs w:val="21"/>
                <w:color w:val="auto"/>
              </w:rPr>
            </w:pPr>
          </w:p>
        </w:tc>
        <w:tc>
          <w:tcPr>
            <w:tcW w:w="740" w:type="dxa"/>
            <w:vAlign w:val="bottom"/>
            <w:tcBorders>
              <w:top w:val="single" w:sz="8" w:color="00A1DF"/>
            </w:tcBorders>
          </w:tcPr>
          <w:p>
            <w:pPr>
              <w:spacing w:after="0"/>
              <w:rPr>
                <w:sz w:val="21"/>
                <w:szCs w:val="21"/>
                <w:color w:val="auto"/>
              </w:rPr>
            </w:pPr>
          </w:p>
        </w:tc>
        <w:tc>
          <w:tcPr>
            <w:tcW w:w="1000" w:type="dxa"/>
            <w:vAlign w:val="bottom"/>
            <w:tcBorders>
              <w:top w:val="single" w:sz="8" w:color="00A1DF"/>
            </w:tcBorders>
          </w:tcPr>
          <w:p>
            <w:pPr>
              <w:spacing w:after="0"/>
              <w:rPr>
                <w:sz w:val="21"/>
                <w:szCs w:val="21"/>
                <w:color w:val="auto"/>
              </w:rPr>
            </w:pPr>
          </w:p>
        </w:tc>
        <w:tc>
          <w:tcPr>
            <w:tcW w:w="1840" w:type="dxa"/>
            <w:vAlign w:val="bottom"/>
            <w:tcBorders>
              <w:top w:val="single" w:sz="8" w:color="00A1DF"/>
            </w:tcBorders>
          </w:tcPr>
          <w:p>
            <w:pPr>
              <w:spacing w:after="0"/>
              <w:rPr>
                <w:sz w:val="21"/>
                <w:szCs w:val="21"/>
                <w:color w:val="auto"/>
              </w:rPr>
            </w:pPr>
          </w:p>
        </w:tc>
        <w:tc>
          <w:tcPr>
            <w:tcW w:w="1280" w:type="dxa"/>
            <w:vAlign w:val="bottom"/>
            <w:tcBorders>
              <w:top w:val="single" w:sz="8" w:color="00A1DF"/>
            </w:tcBorders>
          </w:tcPr>
          <w:p>
            <w:pPr>
              <w:jc w:val="right"/>
              <w:spacing w:after="0"/>
              <w:rPr>
                <w:sz w:val="20"/>
                <w:szCs w:val="20"/>
                <w:color w:val="auto"/>
              </w:rPr>
            </w:pPr>
            <w:r>
              <w:rPr>
                <w:rFonts w:ascii="Arial" w:cs="Arial" w:eastAsia="Arial" w:hAnsi="Arial"/>
                <w:sz w:val="18"/>
                <w:szCs w:val="18"/>
                <w:b w:val="1"/>
                <w:bCs w:val="1"/>
                <w:color w:val="00A1DF"/>
              </w:rPr>
              <w:t>LTIP</w:t>
            </w:r>
          </w:p>
        </w:tc>
        <w:tc>
          <w:tcPr>
            <w:tcW w:w="860" w:type="dxa"/>
            <w:vAlign w:val="bottom"/>
            <w:tcBorders>
              <w:top w:val="single" w:sz="8" w:color="00A1DF"/>
            </w:tcBorders>
          </w:tcPr>
          <w:p>
            <w:pPr>
              <w:spacing w:after="0"/>
              <w:rPr>
                <w:sz w:val="21"/>
                <w:szCs w:val="21"/>
                <w:color w:val="auto"/>
              </w:rPr>
            </w:pPr>
          </w:p>
        </w:tc>
        <w:tc>
          <w:tcPr>
            <w:tcW w:w="1640" w:type="dxa"/>
            <w:vAlign w:val="bottom"/>
            <w:tcBorders>
              <w:top w:val="single" w:sz="8" w:color="00A1DF"/>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00A1DF"/>
              </w:rPr>
              <w:t>Target Total Cash</w:t>
            </w:r>
          </w:p>
        </w:tc>
        <w:tc>
          <w:tcPr>
            <w:tcW w:w="1280" w:type="dxa"/>
            <w:vAlign w:val="bottom"/>
            <w:tcBorders>
              <w:bottom w:val="single" w:sz="8" w:color="00A1DF"/>
            </w:tcBorders>
          </w:tcPr>
          <w:p>
            <w:pPr>
              <w:spacing w:after="0"/>
              <w:rPr>
                <w:sz w:val="5"/>
                <w:szCs w:val="5"/>
                <w:color w:val="auto"/>
              </w:rPr>
            </w:pPr>
          </w:p>
        </w:tc>
        <w:tc>
          <w:tcPr>
            <w:tcW w:w="860" w:type="dxa"/>
            <w:vAlign w:val="bottom"/>
            <w:tcBorders>
              <w:bottom w:val="single" w:sz="8" w:color="00A1DF"/>
            </w:tcBorders>
          </w:tcPr>
          <w:p>
            <w:pPr>
              <w:spacing w:after="0"/>
              <w:rPr>
                <w:sz w:val="5"/>
                <w:szCs w:val="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b w:val="1"/>
                <w:bCs w:val="1"/>
                <w:color w:val="00A1DF"/>
              </w:rPr>
              <w:t>Target Total</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8"/>
                <w:szCs w:val="18"/>
                <w:b w:val="1"/>
                <w:bCs w:val="1"/>
                <w:color w:val="00A1DF"/>
              </w:rPr>
              <w:t>Stock</w:t>
            </w: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Arial" w:cs="Arial" w:eastAsia="Arial" w:hAnsi="Arial"/>
                <w:sz w:val="18"/>
                <w:szCs w:val="18"/>
                <w:b w:val="1"/>
                <w:bCs w:val="1"/>
                <w:color w:val="00A1DF"/>
              </w:rPr>
              <w:t>Base Salary</w:t>
            </w:r>
          </w:p>
        </w:tc>
        <w:tc>
          <w:tcPr>
            <w:tcW w:w="740" w:type="dxa"/>
            <w:vAlign w:val="bottom"/>
          </w:tcPr>
          <w:p>
            <w:pPr>
              <w:jc w:val="right"/>
              <w:ind w:right="171"/>
              <w:spacing w:after="0" w:line="201" w:lineRule="exact"/>
              <w:rPr>
                <w:sz w:val="20"/>
                <w:szCs w:val="20"/>
                <w:color w:val="auto"/>
              </w:rPr>
            </w:pPr>
            <w:r>
              <w:rPr>
                <w:rFonts w:ascii="Arial" w:cs="Arial" w:eastAsia="Arial" w:hAnsi="Arial"/>
                <w:sz w:val="18"/>
                <w:szCs w:val="18"/>
                <w:b w:val="1"/>
                <w:bCs w:val="1"/>
                <w:color w:val="00A1DF"/>
              </w:rPr>
              <w:t>STIP</w:t>
            </w: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00A1DF"/>
              </w:rPr>
              <w:t>STIP</w:t>
            </w:r>
          </w:p>
        </w:tc>
        <w:tc>
          <w:tcPr>
            <w:tcW w:w="1840" w:type="dxa"/>
            <w:vAlign w:val="bottom"/>
          </w:tcPr>
          <w:p>
            <w:pPr>
              <w:jc w:val="right"/>
              <w:ind w:right="191"/>
              <w:spacing w:after="0" w:line="201" w:lineRule="exact"/>
              <w:rPr>
                <w:sz w:val="20"/>
                <w:szCs w:val="20"/>
                <w:color w:val="auto"/>
              </w:rPr>
            </w:pPr>
            <w:r>
              <w:rPr>
                <w:rFonts w:ascii="Arial" w:cs="Arial" w:eastAsia="Arial" w:hAnsi="Arial"/>
                <w:sz w:val="18"/>
                <w:szCs w:val="18"/>
                <w:b w:val="1"/>
                <w:bCs w:val="1"/>
                <w:color w:val="00A1DF"/>
              </w:rPr>
              <w:t>Compensation</w:t>
            </w:r>
          </w:p>
        </w:tc>
        <w:tc>
          <w:tcPr>
            <w:tcW w:w="1280" w:type="dxa"/>
            <w:vAlign w:val="bottom"/>
          </w:tcPr>
          <w:p>
            <w:pPr>
              <w:jc w:val="right"/>
              <w:ind w:right="131"/>
              <w:spacing w:after="0" w:line="201" w:lineRule="exact"/>
              <w:rPr>
                <w:sz w:val="20"/>
                <w:szCs w:val="20"/>
                <w:color w:val="auto"/>
              </w:rPr>
            </w:pPr>
            <w:r>
              <w:rPr>
                <w:rFonts w:ascii="Arial" w:cs="Arial" w:eastAsia="Arial" w:hAnsi="Arial"/>
                <w:sz w:val="18"/>
                <w:szCs w:val="18"/>
                <w:b w:val="1"/>
                <w:bCs w:val="1"/>
                <w:color w:val="00A1DF"/>
              </w:rPr>
              <w:t>PSUs</w:t>
            </w:r>
            <w:r>
              <w:rPr>
                <w:rFonts w:ascii="Arial" w:cs="Arial" w:eastAsia="Arial" w:hAnsi="Arial"/>
                <w:sz w:val="15"/>
                <w:szCs w:val="15"/>
                <w:b w:val="1"/>
                <w:bCs w:val="1"/>
                <w:color w:val="00A1DF"/>
              </w:rPr>
              <w:t>(1)</w:t>
            </w:r>
          </w:p>
        </w:tc>
        <w:tc>
          <w:tcPr>
            <w:tcW w:w="860" w:type="dxa"/>
            <w:vAlign w:val="bottom"/>
          </w:tcPr>
          <w:p>
            <w:pPr>
              <w:jc w:val="right"/>
              <w:spacing w:after="0" w:line="201" w:lineRule="exact"/>
              <w:rPr>
                <w:sz w:val="20"/>
                <w:szCs w:val="20"/>
                <w:color w:val="auto"/>
              </w:rPr>
            </w:pPr>
            <w:r>
              <w:rPr>
                <w:rFonts w:ascii="Arial" w:cs="Arial" w:eastAsia="Arial" w:hAnsi="Arial"/>
                <w:sz w:val="18"/>
                <w:szCs w:val="18"/>
                <w:b w:val="1"/>
                <w:bCs w:val="1"/>
                <w:color w:val="00A1DF"/>
              </w:rPr>
              <w:t>Options</w:t>
            </w:r>
          </w:p>
        </w:tc>
        <w:tc>
          <w:tcPr>
            <w:tcW w:w="1640" w:type="dxa"/>
            <w:vAlign w:val="bottom"/>
          </w:tcPr>
          <w:p>
            <w:pPr>
              <w:jc w:val="right"/>
              <w:spacing w:after="0" w:line="201" w:lineRule="exact"/>
              <w:rPr>
                <w:sz w:val="20"/>
                <w:szCs w:val="20"/>
                <w:color w:val="auto"/>
              </w:rPr>
            </w:pPr>
            <w:r>
              <w:rPr>
                <w:rFonts w:ascii="Arial" w:cs="Arial" w:eastAsia="Arial" w:hAnsi="Arial"/>
                <w:sz w:val="18"/>
                <w:szCs w:val="18"/>
                <w:b w:val="1"/>
                <w:bCs w:val="1"/>
                <w:color w:val="00A1DF"/>
              </w:rPr>
              <w:t>Compensation</w:t>
            </w:r>
          </w:p>
        </w:tc>
        <w:tc>
          <w:tcPr>
            <w:tcW w:w="0" w:type="dxa"/>
            <w:vAlign w:val="bottom"/>
          </w:tcPr>
          <w:p>
            <w:pPr>
              <w:spacing w:after="0"/>
              <w:rPr>
                <w:sz w:val="1"/>
                <w:szCs w:val="1"/>
                <w:color w:val="auto"/>
              </w:rPr>
            </w:pPr>
          </w:p>
        </w:tc>
      </w:tr>
      <w:tr>
        <w:trPr>
          <w:trHeight w:val="249"/>
        </w:trPr>
        <w:tc>
          <w:tcPr>
            <w:tcW w:w="2080" w:type="dxa"/>
            <w:vAlign w:val="bottom"/>
          </w:tcPr>
          <w:p>
            <w:pPr>
              <w:spacing w:after="0"/>
              <w:rPr>
                <w:sz w:val="20"/>
                <w:szCs w:val="20"/>
                <w:color w:val="auto"/>
              </w:rPr>
            </w:pPr>
            <w:r>
              <w:rPr>
                <w:rFonts w:ascii="Arial" w:cs="Arial" w:eastAsia="Arial" w:hAnsi="Arial"/>
                <w:sz w:val="18"/>
                <w:szCs w:val="18"/>
                <w:b w:val="1"/>
                <w:bCs w:val="1"/>
                <w:color w:val="00A1DF"/>
              </w:rPr>
              <w:t>Name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00A1DF"/>
              </w:rPr>
              <w:t>($)</w:t>
            </w:r>
          </w:p>
        </w:tc>
        <w:tc>
          <w:tcPr>
            <w:tcW w:w="740" w:type="dxa"/>
            <w:vAlign w:val="bottom"/>
          </w:tcPr>
          <w:p>
            <w:pPr>
              <w:jc w:val="right"/>
              <w:ind w:right="171"/>
              <w:spacing w:after="0"/>
              <w:rPr>
                <w:sz w:val="20"/>
                <w:szCs w:val="20"/>
                <w:color w:val="auto"/>
              </w:rPr>
            </w:pPr>
            <w:r>
              <w:rPr>
                <w:rFonts w:ascii="Arial" w:cs="Arial" w:eastAsia="Arial" w:hAnsi="Arial"/>
                <w:sz w:val="18"/>
                <w:szCs w:val="18"/>
                <w:b w:val="1"/>
                <w:bCs w:val="1"/>
                <w:color w:val="00A1DF"/>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00A1DF"/>
              </w:rPr>
              <w:t>($)</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00A1DF"/>
              </w:rPr>
              <w:t>($)</w:t>
            </w:r>
          </w:p>
        </w:tc>
        <w:tc>
          <w:tcPr>
            <w:tcW w:w="1280" w:type="dxa"/>
            <w:vAlign w:val="bottom"/>
          </w:tcPr>
          <w:p>
            <w:pPr>
              <w:jc w:val="right"/>
              <w:ind w:right="131"/>
              <w:spacing w:after="0"/>
              <w:rPr>
                <w:sz w:val="20"/>
                <w:szCs w:val="20"/>
                <w:color w:val="auto"/>
              </w:rPr>
            </w:pPr>
            <w:r>
              <w:rPr>
                <w:rFonts w:ascii="Arial" w:cs="Arial" w:eastAsia="Arial" w:hAnsi="Arial"/>
                <w:sz w:val="18"/>
                <w:szCs w:val="18"/>
                <w:b w:val="1"/>
                <w:bCs w:val="1"/>
                <w:color w:val="00A1DF"/>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00A1DF"/>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00A1DF"/>
              </w:rPr>
              <w:t>($)</w:t>
            </w:r>
          </w:p>
        </w:tc>
        <w:tc>
          <w:tcPr>
            <w:tcW w:w="0" w:type="dxa"/>
            <w:vAlign w:val="bottom"/>
          </w:tcPr>
          <w:p>
            <w:pPr>
              <w:spacing w:after="0"/>
              <w:rPr>
                <w:sz w:val="1"/>
                <w:szCs w:val="1"/>
                <w:color w:val="auto"/>
              </w:rPr>
            </w:pPr>
          </w:p>
        </w:tc>
      </w:tr>
      <w:tr>
        <w:trPr>
          <w:trHeight w:val="68"/>
        </w:trPr>
        <w:tc>
          <w:tcPr>
            <w:tcW w:w="2080" w:type="dxa"/>
            <w:vAlign w:val="bottom"/>
            <w:tcBorders>
              <w:bottom w:val="single" w:sz="8" w:color="00A1DF"/>
            </w:tcBorders>
          </w:tcPr>
          <w:p>
            <w:pPr>
              <w:spacing w:after="0"/>
              <w:rPr>
                <w:sz w:val="5"/>
                <w:szCs w:val="5"/>
                <w:color w:val="auto"/>
              </w:rPr>
            </w:pPr>
          </w:p>
        </w:tc>
        <w:tc>
          <w:tcPr>
            <w:tcW w:w="1480" w:type="dxa"/>
            <w:vAlign w:val="bottom"/>
            <w:tcBorders>
              <w:bottom w:val="single" w:sz="8" w:color="00A1DF"/>
            </w:tcBorders>
          </w:tcPr>
          <w:p>
            <w:pPr>
              <w:spacing w:after="0"/>
              <w:rPr>
                <w:sz w:val="5"/>
                <w:szCs w:val="5"/>
                <w:color w:val="auto"/>
              </w:rPr>
            </w:pPr>
          </w:p>
        </w:tc>
        <w:tc>
          <w:tcPr>
            <w:tcW w:w="740" w:type="dxa"/>
            <w:vAlign w:val="bottom"/>
            <w:tcBorders>
              <w:bottom w:val="single" w:sz="8" w:color="00A1DF"/>
            </w:tcBorders>
          </w:tcPr>
          <w:p>
            <w:pPr>
              <w:spacing w:after="0"/>
              <w:rPr>
                <w:sz w:val="5"/>
                <w:szCs w:val="5"/>
                <w:color w:val="auto"/>
              </w:rPr>
            </w:pPr>
          </w:p>
        </w:tc>
        <w:tc>
          <w:tcPr>
            <w:tcW w:w="1000" w:type="dxa"/>
            <w:vAlign w:val="bottom"/>
            <w:tcBorders>
              <w:bottom w:val="single" w:sz="8" w:color="00A1DF"/>
            </w:tcBorders>
          </w:tcPr>
          <w:p>
            <w:pPr>
              <w:spacing w:after="0"/>
              <w:rPr>
                <w:sz w:val="5"/>
                <w:szCs w:val="5"/>
                <w:color w:val="auto"/>
              </w:rPr>
            </w:pPr>
          </w:p>
        </w:tc>
        <w:tc>
          <w:tcPr>
            <w:tcW w:w="1840" w:type="dxa"/>
            <w:vAlign w:val="bottom"/>
            <w:tcBorders>
              <w:bottom w:val="single" w:sz="8" w:color="00A1DF"/>
            </w:tcBorders>
          </w:tcPr>
          <w:p>
            <w:pPr>
              <w:spacing w:after="0"/>
              <w:rPr>
                <w:sz w:val="5"/>
                <w:szCs w:val="5"/>
                <w:color w:val="auto"/>
              </w:rPr>
            </w:pPr>
          </w:p>
        </w:tc>
        <w:tc>
          <w:tcPr>
            <w:tcW w:w="1280" w:type="dxa"/>
            <w:vAlign w:val="bottom"/>
            <w:tcBorders>
              <w:bottom w:val="single" w:sz="8" w:color="00A1DF"/>
            </w:tcBorders>
          </w:tcPr>
          <w:p>
            <w:pPr>
              <w:spacing w:after="0"/>
              <w:rPr>
                <w:sz w:val="5"/>
                <w:szCs w:val="5"/>
                <w:color w:val="auto"/>
              </w:rPr>
            </w:pPr>
          </w:p>
        </w:tc>
        <w:tc>
          <w:tcPr>
            <w:tcW w:w="860" w:type="dxa"/>
            <w:vAlign w:val="bottom"/>
            <w:tcBorders>
              <w:bottom w:val="single" w:sz="8" w:color="00A1DF"/>
            </w:tcBorders>
          </w:tcPr>
          <w:p>
            <w:pPr>
              <w:spacing w:after="0"/>
              <w:rPr>
                <w:sz w:val="5"/>
                <w:szCs w:val="5"/>
                <w:color w:val="auto"/>
              </w:rPr>
            </w:pPr>
          </w:p>
        </w:tc>
        <w:tc>
          <w:tcPr>
            <w:tcW w:w="164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Mary T. Barra</w:t>
            </w:r>
          </w:p>
        </w:tc>
        <w:tc>
          <w:tcPr>
            <w:tcW w:w="1480" w:type="dxa"/>
            <w:vAlign w:val="bottom"/>
          </w:tcPr>
          <w:p>
            <w:pPr>
              <w:jc w:val="right"/>
              <w:spacing w:after="0"/>
              <w:rPr>
                <w:sz w:val="20"/>
                <w:szCs w:val="20"/>
                <w:color w:val="auto"/>
              </w:rPr>
            </w:pPr>
            <w:r>
              <w:rPr>
                <w:rFonts w:ascii="Arial" w:cs="Arial" w:eastAsia="Arial" w:hAnsi="Arial"/>
                <w:sz w:val="18"/>
                <w:szCs w:val="18"/>
                <w:color w:val="auto"/>
              </w:rPr>
              <w:t>2,100,000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0" w:type="dxa"/>
            <w:vAlign w:val="bottom"/>
          </w:tcPr>
          <w:p>
            <w:pPr>
              <w:jc w:val="right"/>
              <w:spacing w:after="0"/>
              <w:rPr>
                <w:sz w:val="20"/>
                <w:szCs w:val="20"/>
                <w:color w:val="auto"/>
              </w:rPr>
            </w:pPr>
            <w:r>
              <w:rPr>
                <w:rFonts w:ascii="Arial" w:cs="Arial" w:eastAsia="Arial" w:hAnsi="Arial"/>
                <w:sz w:val="18"/>
                <w:szCs w:val="18"/>
                <w:color w:val="auto"/>
              </w:rPr>
              <w:t>4,200,000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6,300,000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10,575,000</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3,525,000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20,400,000</w:t>
            </w:r>
          </w:p>
        </w:tc>
        <w:tc>
          <w:tcPr>
            <w:tcW w:w="0" w:type="dxa"/>
            <w:vAlign w:val="bottom"/>
          </w:tcPr>
          <w:p>
            <w:pPr>
              <w:spacing w:after="0"/>
              <w:rPr>
                <w:sz w:val="1"/>
                <w:szCs w:val="1"/>
                <w:color w:val="auto"/>
              </w:rPr>
            </w:pPr>
          </w:p>
        </w:tc>
      </w:tr>
      <w:tr>
        <w:trPr>
          <w:trHeight w:val="68"/>
        </w:trPr>
        <w:tc>
          <w:tcPr>
            <w:tcW w:w="20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Dhivya Suryadevara</w:t>
            </w:r>
          </w:p>
        </w:tc>
        <w:tc>
          <w:tcPr>
            <w:tcW w:w="1480" w:type="dxa"/>
            <w:vAlign w:val="bottom"/>
          </w:tcPr>
          <w:p>
            <w:pPr>
              <w:jc w:val="right"/>
              <w:spacing w:after="0"/>
              <w:rPr>
                <w:sz w:val="20"/>
                <w:szCs w:val="20"/>
                <w:color w:val="auto"/>
              </w:rPr>
            </w:pPr>
            <w:r>
              <w:rPr>
                <w:rFonts w:ascii="Arial" w:cs="Arial" w:eastAsia="Arial" w:hAnsi="Arial"/>
                <w:sz w:val="18"/>
                <w:szCs w:val="18"/>
                <w:color w:val="auto"/>
              </w:rPr>
              <w:t>1,000,000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1,250,000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2,250,000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3,187,500</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1,062,500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6,500,000</w:t>
            </w:r>
          </w:p>
        </w:tc>
        <w:tc>
          <w:tcPr>
            <w:tcW w:w="0" w:type="dxa"/>
            <w:vAlign w:val="bottom"/>
          </w:tcPr>
          <w:p>
            <w:pPr>
              <w:spacing w:after="0"/>
              <w:rPr>
                <w:sz w:val="1"/>
                <w:szCs w:val="1"/>
                <w:color w:val="auto"/>
              </w:rPr>
            </w:pPr>
          </w:p>
        </w:tc>
      </w:tr>
      <w:tr>
        <w:trPr>
          <w:trHeight w:val="68"/>
        </w:trPr>
        <w:tc>
          <w:tcPr>
            <w:tcW w:w="20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Mark L. Reuss</w:t>
            </w:r>
          </w:p>
        </w:tc>
        <w:tc>
          <w:tcPr>
            <w:tcW w:w="1480" w:type="dxa"/>
            <w:vAlign w:val="bottom"/>
          </w:tcPr>
          <w:p>
            <w:pPr>
              <w:jc w:val="right"/>
              <w:spacing w:after="0"/>
              <w:rPr>
                <w:sz w:val="20"/>
                <w:szCs w:val="20"/>
                <w:color w:val="auto"/>
              </w:rPr>
            </w:pPr>
            <w:r>
              <w:rPr>
                <w:rFonts w:ascii="Arial" w:cs="Arial" w:eastAsia="Arial" w:hAnsi="Arial"/>
                <w:sz w:val="18"/>
                <w:szCs w:val="18"/>
                <w:color w:val="auto"/>
              </w:rPr>
              <w:t>1,200,000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2,700,000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3,600,000</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7,500,000</w:t>
            </w:r>
          </w:p>
        </w:tc>
        <w:tc>
          <w:tcPr>
            <w:tcW w:w="0" w:type="dxa"/>
            <w:vAlign w:val="bottom"/>
          </w:tcPr>
          <w:p>
            <w:pPr>
              <w:spacing w:after="0"/>
              <w:rPr>
                <w:sz w:val="1"/>
                <w:szCs w:val="1"/>
                <w:color w:val="auto"/>
              </w:rPr>
            </w:pPr>
          </w:p>
        </w:tc>
      </w:tr>
      <w:tr>
        <w:trPr>
          <w:trHeight w:val="68"/>
        </w:trPr>
        <w:tc>
          <w:tcPr>
            <w:tcW w:w="20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Barry L. Engle II</w:t>
            </w:r>
          </w:p>
        </w:tc>
        <w:tc>
          <w:tcPr>
            <w:tcW w:w="1480" w:type="dxa"/>
            <w:vAlign w:val="bottom"/>
          </w:tcPr>
          <w:p>
            <w:pPr>
              <w:jc w:val="right"/>
              <w:spacing w:after="0"/>
              <w:rPr>
                <w:sz w:val="20"/>
                <w:szCs w:val="20"/>
                <w:color w:val="auto"/>
              </w:rPr>
            </w:pPr>
            <w:r>
              <w:rPr>
                <w:rFonts w:ascii="Arial" w:cs="Arial" w:eastAsia="Arial" w:hAnsi="Arial"/>
                <w:sz w:val="18"/>
                <w:szCs w:val="18"/>
                <w:color w:val="auto"/>
              </w:rPr>
              <w:t>800,000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1,800,000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2,400,000</w:t>
            </w:r>
          </w:p>
        </w:tc>
        <w:tc>
          <w:tcPr>
            <w:tcW w:w="860" w:type="dxa"/>
            <w:vAlign w:val="bottom"/>
          </w:tcPr>
          <w:p>
            <w:pPr>
              <w:jc w:val="right"/>
              <w:spacing w:after="0"/>
              <w:rPr>
                <w:sz w:val="20"/>
                <w:szCs w:val="20"/>
                <w:color w:val="auto"/>
              </w:rPr>
            </w:pPr>
            <w:r>
              <w:rPr>
                <w:rFonts w:ascii="Arial" w:cs="Arial" w:eastAsia="Arial" w:hAnsi="Arial"/>
                <w:sz w:val="18"/>
                <w:szCs w:val="18"/>
                <w:color w:val="auto"/>
              </w:rPr>
              <w:t>800,000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5,000,000</w:t>
            </w:r>
          </w:p>
        </w:tc>
        <w:tc>
          <w:tcPr>
            <w:tcW w:w="0" w:type="dxa"/>
            <w:vAlign w:val="bottom"/>
          </w:tcPr>
          <w:p>
            <w:pPr>
              <w:spacing w:after="0"/>
              <w:rPr>
                <w:sz w:val="1"/>
                <w:szCs w:val="1"/>
                <w:color w:val="auto"/>
              </w:rPr>
            </w:pPr>
          </w:p>
        </w:tc>
      </w:tr>
      <w:tr>
        <w:trPr>
          <w:trHeight w:val="68"/>
        </w:trPr>
        <w:tc>
          <w:tcPr>
            <w:tcW w:w="20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Craig B. Glidden</w:t>
            </w:r>
          </w:p>
        </w:tc>
        <w:tc>
          <w:tcPr>
            <w:tcW w:w="1480" w:type="dxa"/>
            <w:vAlign w:val="bottom"/>
          </w:tcPr>
          <w:p>
            <w:pPr>
              <w:jc w:val="right"/>
              <w:spacing w:after="0"/>
              <w:rPr>
                <w:sz w:val="20"/>
                <w:szCs w:val="20"/>
                <w:color w:val="auto"/>
              </w:rPr>
            </w:pPr>
            <w:r>
              <w:rPr>
                <w:rFonts w:ascii="Arial" w:cs="Arial" w:eastAsia="Arial" w:hAnsi="Arial"/>
                <w:sz w:val="18"/>
                <w:szCs w:val="18"/>
                <w:color w:val="auto"/>
              </w:rPr>
              <w:t>775,000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968,800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1,743,800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1,804,650</w:t>
            </w:r>
          </w:p>
        </w:tc>
        <w:tc>
          <w:tcPr>
            <w:tcW w:w="860" w:type="dxa"/>
            <w:vAlign w:val="bottom"/>
          </w:tcPr>
          <w:p>
            <w:pPr>
              <w:jc w:val="right"/>
              <w:spacing w:after="0"/>
              <w:rPr>
                <w:sz w:val="20"/>
                <w:szCs w:val="20"/>
                <w:color w:val="auto"/>
              </w:rPr>
            </w:pPr>
            <w:r>
              <w:rPr>
                <w:rFonts w:ascii="Arial" w:cs="Arial" w:eastAsia="Arial" w:hAnsi="Arial"/>
                <w:sz w:val="18"/>
                <w:szCs w:val="18"/>
                <w:color w:val="auto"/>
              </w:rPr>
              <w:t>601,550</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4,150,000</w:t>
            </w:r>
          </w:p>
        </w:tc>
        <w:tc>
          <w:tcPr>
            <w:tcW w:w="0" w:type="dxa"/>
            <w:vAlign w:val="bottom"/>
          </w:tcPr>
          <w:p>
            <w:pPr>
              <w:spacing w:after="0"/>
              <w:rPr>
                <w:sz w:val="1"/>
                <w:szCs w:val="1"/>
                <w:color w:val="auto"/>
              </w:rPr>
            </w:pPr>
          </w:p>
        </w:tc>
      </w:tr>
      <w:tr>
        <w:trPr>
          <w:trHeight w:val="68"/>
        </w:trPr>
        <w:tc>
          <w:tcPr>
            <w:tcW w:w="20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080" w:type="dxa"/>
            <w:vAlign w:val="bottom"/>
          </w:tcPr>
          <w:p>
            <w:pPr>
              <w:ind w:left="100"/>
              <w:spacing w:after="0"/>
              <w:rPr>
                <w:sz w:val="20"/>
                <w:szCs w:val="20"/>
                <w:color w:val="auto"/>
              </w:rPr>
            </w:pPr>
            <w:r>
              <w:rPr>
                <w:rFonts w:ascii="Arial" w:cs="Arial" w:eastAsia="Arial" w:hAnsi="Arial"/>
                <w:sz w:val="18"/>
                <w:szCs w:val="18"/>
                <w:color w:val="auto"/>
              </w:rPr>
              <w:t>Alan S. Batey</w:t>
            </w:r>
          </w:p>
        </w:tc>
        <w:tc>
          <w:tcPr>
            <w:tcW w:w="1480" w:type="dxa"/>
            <w:vAlign w:val="bottom"/>
          </w:tcPr>
          <w:p>
            <w:pPr>
              <w:jc w:val="right"/>
              <w:spacing w:after="0"/>
              <w:rPr>
                <w:sz w:val="20"/>
                <w:szCs w:val="20"/>
                <w:color w:val="auto"/>
              </w:rPr>
            </w:pPr>
            <w:r>
              <w:rPr>
                <w:rFonts w:ascii="Arial" w:cs="Arial" w:eastAsia="Arial" w:hAnsi="Arial"/>
                <w:sz w:val="18"/>
                <w:szCs w:val="18"/>
                <w:color w:val="auto"/>
              </w:rPr>
              <w:t>1,025,000</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0" w:type="dxa"/>
            <w:vAlign w:val="bottom"/>
          </w:tcPr>
          <w:p>
            <w:pPr>
              <w:jc w:val="right"/>
              <w:spacing w:after="0"/>
              <w:rPr>
                <w:sz w:val="20"/>
                <w:szCs w:val="20"/>
                <w:color w:val="auto"/>
              </w:rPr>
            </w:pPr>
            <w:r>
              <w:rPr>
                <w:rFonts w:ascii="Arial" w:cs="Arial" w:eastAsia="Arial" w:hAnsi="Arial"/>
                <w:sz w:val="18"/>
                <w:szCs w:val="18"/>
                <w:color w:val="auto"/>
              </w:rPr>
              <w:t>1,281,300</w:t>
            </w:r>
          </w:p>
        </w:tc>
        <w:tc>
          <w:tcPr>
            <w:tcW w:w="1840" w:type="dxa"/>
            <w:vAlign w:val="bottom"/>
          </w:tcPr>
          <w:p>
            <w:pPr>
              <w:jc w:val="right"/>
              <w:ind w:right="191"/>
              <w:spacing w:after="0"/>
              <w:rPr>
                <w:sz w:val="20"/>
                <w:szCs w:val="20"/>
                <w:color w:val="auto"/>
              </w:rPr>
            </w:pPr>
            <w:r>
              <w:rPr>
                <w:rFonts w:ascii="Arial" w:cs="Arial" w:eastAsia="Arial" w:hAnsi="Arial"/>
                <w:sz w:val="18"/>
                <w:szCs w:val="18"/>
                <w:b w:val="1"/>
                <w:bCs w:val="1"/>
                <w:color w:val="auto"/>
              </w:rPr>
              <w:t>2,306,300</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2,020,275</w:t>
            </w:r>
          </w:p>
        </w:tc>
        <w:tc>
          <w:tcPr>
            <w:tcW w:w="860" w:type="dxa"/>
            <w:vAlign w:val="bottom"/>
          </w:tcPr>
          <w:p>
            <w:pPr>
              <w:jc w:val="right"/>
              <w:spacing w:after="0"/>
              <w:rPr>
                <w:sz w:val="20"/>
                <w:szCs w:val="20"/>
                <w:color w:val="auto"/>
              </w:rPr>
            </w:pPr>
            <w:r>
              <w:rPr>
                <w:rFonts w:ascii="Arial" w:cs="Arial" w:eastAsia="Arial" w:hAnsi="Arial"/>
                <w:sz w:val="18"/>
                <w:szCs w:val="18"/>
                <w:color w:val="auto"/>
              </w:rPr>
              <w:t>673,425</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jc w:val="both"/>
        <w:ind w:left="600" w:hanging="433"/>
        <w:spacing w:after="0" w:line="246" w:lineRule="auto"/>
        <w:tabs>
          <w:tab w:leader="none" w:pos="6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PSUs awarded is determined by using the target PSU value divided by the closing price on the date of grant. PSUs with performance tied to Relative TSR are valued in the Summary Compensation Table using a Monte Carlo analysis resulting in amounts that may be higher or lower than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83185</wp:posOffset>
            </wp:positionV>
            <wp:extent cx="6793865" cy="1016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46</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Performance Measures</w:t>
      </w:r>
    </w:p>
    <w:p>
      <w:pPr>
        <w:spacing w:after="0" w:line="155" w:lineRule="exact"/>
        <w:rPr>
          <w:sz w:val="20"/>
          <w:szCs w:val="20"/>
          <w:color w:val="auto"/>
        </w:rPr>
      </w:pPr>
    </w:p>
    <w:p>
      <w:pPr>
        <w:ind w:left="700" w:hanging="533"/>
        <w:spacing w:after="0"/>
        <w:tabs>
          <w:tab w:leader="none" w:pos="700" w:val="left"/>
        </w:tabs>
        <w:numPr>
          <w:ilvl w:val="0"/>
          <w:numId w:val="61"/>
        </w:numPr>
        <w:rPr>
          <w:rFonts w:ascii="Arial" w:cs="Arial" w:eastAsia="Arial" w:hAnsi="Arial"/>
          <w:sz w:val="25"/>
          <w:szCs w:val="25"/>
          <w:color w:val="0033A0"/>
        </w:rPr>
      </w:pPr>
      <w:r>
        <w:rPr>
          <w:rFonts w:ascii="Arial" w:cs="Arial" w:eastAsia="Arial" w:hAnsi="Arial"/>
          <w:sz w:val="25"/>
          <w:szCs w:val="25"/>
          <w:color w:val="auto"/>
        </w:rPr>
        <w:t>How We Set Performance Targets</w:t>
      </w:r>
    </w:p>
    <w:p>
      <w:pPr>
        <w:spacing w:after="0" w:line="149"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Annually, the Compensation Committee approves the performance measures for the STIP and LTIP. The Compensation Committee reviews recommendations from management, receives input from its independent compensation consultant, evaluates the annual budget and mid-term business plan, and reviews prior year performance to approve value-creating goals tied to long-term shareholder value.</w:t>
      </w:r>
    </w:p>
    <w:p>
      <w:pPr>
        <w:spacing w:after="0" w:line="321" w:lineRule="exact"/>
        <w:rPr>
          <w:sz w:val="20"/>
          <w:szCs w:val="20"/>
          <w:color w:val="auto"/>
        </w:rPr>
      </w:pPr>
    </w:p>
    <w:p>
      <w:pPr>
        <w:ind w:left="700" w:hanging="533"/>
        <w:spacing w:after="0"/>
        <w:tabs>
          <w:tab w:leader="none" w:pos="700" w:val="left"/>
        </w:tabs>
        <w:numPr>
          <w:ilvl w:val="0"/>
          <w:numId w:val="62"/>
        </w:numPr>
        <w:rPr>
          <w:rFonts w:ascii="Arial" w:cs="Arial" w:eastAsia="Arial" w:hAnsi="Arial"/>
          <w:sz w:val="25"/>
          <w:szCs w:val="25"/>
          <w:color w:val="0033A0"/>
        </w:rPr>
      </w:pPr>
      <w:r>
        <w:rPr>
          <w:rFonts w:ascii="Arial" w:cs="Arial" w:eastAsia="Arial" w:hAnsi="Arial"/>
          <w:sz w:val="25"/>
          <w:szCs w:val="25"/>
          <w:color w:val="auto"/>
        </w:rPr>
        <w:t>2019 STIP Performance Measures</w:t>
      </w:r>
    </w:p>
    <w:p>
      <w:pPr>
        <w:spacing w:after="0" w:line="135" w:lineRule="exact"/>
        <w:rPr>
          <w:sz w:val="20"/>
          <w:szCs w:val="20"/>
          <w:color w:val="auto"/>
        </w:rPr>
      </w:pPr>
    </w:p>
    <w:p>
      <w:pPr>
        <w:jc w:val="both"/>
        <w:ind w:left="160" w:right="20"/>
        <w:spacing w:after="0" w:line="226" w:lineRule="auto"/>
        <w:rPr>
          <w:sz w:val="20"/>
          <w:szCs w:val="20"/>
          <w:color w:val="auto"/>
        </w:rPr>
      </w:pPr>
      <w:r>
        <w:rPr>
          <w:rFonts w:ascii="Arial" w:cs="Arial" w:eastAsia="Arial" w:hAnsi="Arial"/>
          <w:sz w:val="20"/>
          <w:szCs w:val="20"/>
          <w:color w:val="auto"/>
        </w:rPr>
        <w:t>STIP performance is linked to the Company’s achievement of annual financial goals and individual performance results to strategic goals. The Compensation Committee annually reviews and approves STIP goals that align with shareholders’ interests through the achievement of the business plan and strategic goals. 2019 STIP targets were set at the beginning of the performance period based on the business plan. Strategic goals are assessed using an individual performance scorecard measuring results against pre-established goals that the Compensation Committee approves at the beginning of the year which align to the Company’s objectives. Individual performance results to strategic goals and final individual compensation decisions are discussed beginning on page 52 of this Proxy Statement.</w:t>
      </w:r>
    </w:p>
    <w:p>
      <w:pPr>
        <w:spacing w:after="0" w:line="129"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STIP awards, if any, are determined following final Company performance and the Compensation Committee’s assessment of performance to strategic goals for each NEO. The table below describes each STIP performance measure, its weighting, its target, and the behavior each measure drives. The targets for EBIT-adjusted and Adjusted AFCF were set above prior year results.</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360" w:type="dxa"/>
            <w:vAlign w:val="bottom"/>
            <w:tcBorders>
              <w:top w:val="single" w:sz="8" w:color="00A1DF"/>
            </w:tcBorders>
          </w:tcPr>
          <w:p>
            <w:pPr>
              <w:spacing w:after="0" w:line="213" w:lineRule="exact"/>
              <w:rPr>
                <w:sz w:val="20"/>
                <w:szCs w:val="20"/>
                <w:color w:val="auto"/>
              </w:rPr>
            </w:pPr>
            <w:r>
              <w:rPr>
                <w:rFonts w:ascii="Arial" w:cs="Arial" w:eastAsia="Arial" w:hAnsi="Arial"/>
                <w:sz w:val="20"/>
                <w:szCs w:val="20"/>
                <w:b w:val="1"/>
                <w:bCs w:val="1"/>
                <w:color w:val="00A1DF"/>
              </w:rPr>
              <w:t>STIP Performance</w:t>
            </w:r>
          </w:p>
        </w:tc>
        <w:tc>
          <w:tcPr>
            <w:tcW w:w="980" w:type="dxa"/>
            <w:vAlign w:val="bottom"/>
            <w:tcBorders>
              <w:top w:val="single" w:sz="8" w:color="00A1DF"/>
            </w:tcBorders>
          </w:tcPr>
          <w:p>
            <w:pPr>
              <w:spacing w:after="0"/>
              <w:rPr>
                <w:sz w:val="18"/>
                <w:szCs w:val="18"/>
                <w:color w:val="auto"/>
              </w:rPr>
            </w:pPr>
          </w:p>
        </w:tc>
        <w:tc>
          <w:tcPr>
            <w:tcW w:w="800" w:type="dxa"/>
            <w:vAlign w:val="bottom"/>
            <w:tcBorders>
              <w:top w:val="single" w:sz="8" w:color="00A1DF"/>
            </w:tcBorders>
          </w:tcPr>
          <w:p>
            <w:pPr>
              <w:spacing w:after="0"/>
              <w:rPr>
                <w:sz w:val="18"/>
                <w:szCs w:val="18"/>
                <w:color w:val="auto"/>
              </w:rPr>
            </w:pPr>
          </w:p>
        </w:tc>
        <w:tc>
          <w:tcPr>
            <w:tcW w:w="6780" w:type="dxa"/>
            <w:vAlign w:val="bottom"/>
            <w:tcBorders>
              <w:top w:val="single" w:sz="8" w:color="00A1DF"/>
            </w:tcBorders>
          </w:tcPr>
          <w:p>
            <w:pPr>
              <w:spacing w:after="0"/>
              <w:rPr>
                <w:sz w:val="18"/>
                <w:szCs w:val="18"/>
                <w:color w:val="auto"/>
              </w:rPr>
            </w:pPr>
          </w:p>
        </w:tc>
      </w:tr>
      <w:tr>
        <w:trPr>
          <w:trHeight w:val="259"/>
        </w:trPr>
        <w:tc>
          <w:tcPr>
            <w:tcW w:w="2360" w:type="dxa"/>
            <w:vAlign w:val="bottom"/>
          </w:tcPr>
          <w:p>
            <w:pPr>
              <w:spacing w:after="0"/>
              <w:rPr>
                <w:sz w:val="20"/>
                <w:szCs w:val="20"/>
                <w:color w:val="auto"/>
              </w:rPr>
            </w:pPr>
            <w:r>
              <w:rPr>
                <w:rFonts w:ascii="Arial" w:cs="Arial" w:eastAsia="Arial" w:hAnsi="Arial"/>
                <w:sz w:val="20"/>
                <w:szCs w:val="20"/>
                <w:b w:val="1"/>
                <w:bCs w:val="1"/>
                <w:color w:val="00A1DF"/>
              </w:rPr>
              <w:t>Measure</w:t>
            </w:r>
          </w:p>
        </w:tc>
        <w:tc>
          <w:tcPr>
            <w:tcW w:w="980" w:type="dxa"/>
            <w:vAlign w:val="bottom"/>
          </w:tcPr>
          <w:p>
            <w:pPr>
              <w:jc w:val="right"/>
              <w:ind w:right="42"/>
              <w:spacing w:after="0"/>
              <w:rPr>
                <w:sz w:val="20"/>
                <w:szCs w:val="20"/>
                <w:color w:val="auto"/>
              </w:rPr>
            </w:pPr>
            <w:r>
              <w:rPr>
                <w:rFonts w:ascii="Arial" w:cs="Arial" w:eastAsia="Arial" w:hAnsi="Arial"/>
                <w:sz w:val="20"/>
                <w:szCs w:val="20"/>
                <w:b w:val="1"/>
                <w:bCs w:val="1"/>
                <w:color w:val="00A1DF"/>
              </w:rPr>
              <w:t>Weight</w:t>
            </w:r>
          </w:p>
        </w:tc>
        <w:tc>
          <w:tcPr>
            <w:tcW w:w="800" w:type="dxa"/>
            <w:vAlign w:val="bottom"/>
          </w:tcPr>
          <w:p>
            <w:pPr>
              <w:jc w:val="right"/>
              <w:ind w:right="2"/>
              <w:spacing w:after="0"/>
              <w:rPr>
                <w:sz w:val="20"/>
                <w:szCs w:val="20"/>
                <w:color w:val="auto"/>
              </w:rPr>
            </w:pPr>
            <w:r>
              <w:rPr>
                <w:rFonts w:ascii="Arial" w:cs="Arial" w:eastAsia="Arial" w:hAnsi="Arial"/>
                <w:sz w:val="20"/>
                <w:szCs w:val="20"/>
                <w:b w:val="1"/>
                <w:bCs w:val="1"/>
                <w:color w:val="00A1DF"/>
              </w:rPr>
              <w:t>Target</w:t>
            </w:r>
          </w:p>
        </w:tc>
        <w:tc>
          <w:tcPr>
            <w:tcW w:w="6780" w:type="dxa"/>
            <w:vAlign w:val="bottom"/>
          </w:tcPr>
          <w:p>
            <w:pPr>
              <w:ind w:left="100"/>
              <w:spacing w:after="0"/>
              <w:rPr>
                <w:sz w:val="20"/>
                <w:szCs w:val="20"/>
                <w:color w:val="auto"/>
              </w:rPr>
            </w:pPr>
            <w:r>
              <w:rPr>
                <w:rFonts w:ascii="Arial" w:cs="Arial" w:eastAsia="Arial" w:hAnsi="Arial"/>
                <w:sz w:val="20"/>
                <w:szCs w:val="20"/>
                <w:b w:val="1"/>
                <w:bCs w:val="1"/>
                <w:color w:val="00A1DF"/>
              </w:rPr>
              <w:t>Leadership Behaviors</w:t>
            </w:r>
          </w:p>
        </w:tc>
      </w:tr>
      <w:tr>
        <w:trPr>
          <w:trHeight w:val="62"/>
        </w:trPr>
        <w:tc>
          <w:tcPr>
            <w:tcW w:w="2360" w:type="dxa"/>
            <w:vAlign w:val="bottom"/>
            <w:tcBorders>
              <w:bottom w:val="single" w:sz="8" w:color="00A1DF"/>
            </w:tcBorders>
          </w:tcPr>
          <w:p>
            <w:pPr>
              <w:spacing w:after="0"/>
              <w:rPr>
                <w:sz w:val="5"/>
                <w:szCs w:val="5"/>
                <w:color w:val="auto"/>
              </w:rPr>
            </w:pPr>
          </w:p>
        </w:tc>
        <w:tc>
          <w:tcPr>
            <w:tcW w:w="980" w:type="dxa"/>
            <w:vAlign w:val="bottom"/>
            <w:tcBorders>
              <w:bottom w:val="single" w:sz="8" w:color="00A1DF"/>
            </w:tcBorders>
          </w:tcPr>
          <w:p>
            <w:pPr>
              <w:spacing w:after="0"/>
              <w:rPr>
                <w:sz w:val="5"/>
                <w:szCs w:val="5"/>
                <w:color w:val="auto"/>
              </w:rPr>
            </w:pPr>
          </w:p>
        </w:tc>
        <w:tc>
          <w:tcPr>
            <w:tcW w:w="800" w:type="dxa"/>
            <w:vAlign w:val="bottom"/>
            <w:tcBorders>
              <w:bottom w:val="single" w:sz="8" w:color="00A1DF"/>
            </w:tcBorders>
          </w:tcPr>
          <w:p>
            <w:pPr>
              <w:spacing w:after="0"/>
              <w:rPr>
                <w:sz w:val="5"/>
                <w:szCs w:val="5"/>
                <w:color w:val="auto"/>
              </w:rPr>
            </w:pPr>
          </w:p>
        </w:tc>
        <w:tc>
          <w:tcPr>
            <w:tcW w:w="6780" w:type="dxa"/>
            <w:vAlign w:val="bottom"/>
            <w:tcBorders>
              <w:bottom w:val="single" w:sz="8" w:color="00A1DF"/>
            </w:tcBorders>
          </w:tcPr>
          <w:p>
            <w:pPr>
              <w:spacing w:after="0"/>
              <w:rPr>
                <w:sz w:val="5"/>
                <w:szCs w:val="5"/>
                <w:color w:val="auto"/>
              </w:rPr>
            </w:pPr>
          </w:p>
        </w:tc>
      </w:tr>
      <w:tr>
        <w:trPr>
          <w:trHeight w:val="292"/>
        </w:trPr>
        <w:tc>
          <w:tcPr>
            <w:tcW w:w="2360" w:type="dxa"/>
            <w:vAlign w:val="bottom"/>
          </w:tcPr>
          <w:p>
            <w:pPr>
              <w:ind w:left="100"/>
              <w:spacing w:after="0"/>
              <w:rPr>
                <w:sz w:val="20"/>
                <w:szCs w:val="20"/>
                <w:color w:val="auto"/>
              </w:rPr>
            </w:pPr>
            <w:r>
              <w:rPr>
                <w:rFonts w:ascii="Arial" w:cs="Arial" w:eastAsia="Arial" w:hAnsi="Arial"/>
                <w:sz w:val="20"/>
                <w:szCs w:val="20"/>
                <w:b w:val="1"/>
                <w:bCs w:val="1"/>
                <w:color w:val="auto"/>
              </w:rPr>
              <w:t>EBIT-adjusted ($B)</w:t>
            </w:r>
            <w:r>
              <w:rPr>
                <w:rFonts w:ascii="Arial" w:cs="Arial" w:eastAsia="Arial" w:hAnsi="Arial"/>
                <w:sz w:val="16"/>
                <w:szCs w:val="16"/>
                <w:b w:val="1"/>
                <w:bCs w:val="1"/>
                <w:color w:val="auto"/>
              </w:rPr>
              <w:t>(1)</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50%</w:t>
            </w:r>
          </w:p>
        </w:tc>
        <w:tc>
          <w:tcPr>
            <w:tcW w:w="800" w:type="dxa"/>
            <w:vAlign w:val="bottom"/>
          </w:tcPr>
          <w:p>
            <w:pPr>
              <w:jc w:val="right"/>
              <w:ind w:right="2"/>
              <w:spacing w:after="0"/>
              <w:rPr>
                <w:sz w:val="20"/>
                <w:szCs w:val="20"/>
                <w:color w:val="auto"/>
              </w:rPr>
            </w:pPr>
            <w:r>
              <w:rPr>
                <w:rFonts w:ascii="Arial" w:cs="Arial" w:eastAsia="Arial" w:hAnsi="Arial"/>
                <w:sz w:val="20"/>
                <w:szCs w:val="20"/>
                <w:color w:val="auto"/>
              </w:rPr>
              <w:t>$13.7</w:t>
            </w:r>
          </w:p>
        </w:tc>
        <w:tc>
          <w:tcPr>
            <w:tcW w:w="6780" w:type="dxa"/>
            <w:vAlign w:val="bottom"/>
          </w:tcPr>
          <w:p>
            <w:pPr>
              <w:ind w:left="100"/>
              <w:spacing w:after="0"/>
              <w:rPr>
                <w:sz w:val="20"/>
                <w:szCs w:val="20"/>
                <w:color w:val="auto"/>
              </w:rPr>
            </w:pPr>
            <w:r>
              <w:rPr>
                <w:rFonts w:ascii="Arial" w:cs="Arial" w:eastAsia="Arial" w:hAnsi="Arial"/>
                <w:sz w:val="20"/>
                <w:szCs w:val="20"/>
                <w:color w:val="auto"/>
              </w:rPr>
              <w:t>Focus on operating profit and driving strong profitability</w:t>
            </w:r>
          </w:p>
        </w:tc>
      </w:tr>
      <w:tr>
        <w:trPr>
          <w:trHeight w:val="62"/>
        </w:trPr>
        <w:tc>
          <w:tcPr>
            <w:tcW w:w="2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r>
      <w:tr>
        <w:trPr>
          <w:trHeight w:val="292"/>
        </w:trPr>
        <w:tc>
          <w:tcPr>
            <w:tcW w:w="2360" w:type="dxa"/>
            <w:vAlign w:val="bottom"/>
          </w:tcPr>
          <w:p>
            <w:pPr>
              <w:ind w:left="100"/>
              <w:spacing w:after="0"/>
              <w:rPr>
                <w:sz w:val="20"/>
                <w:szCs w:val="20"/>
                <w:color w:val="auto"/>
              </w:rPr>
            </w:pPr>
            <w:r>
              <w:rPr>
                <w:rFonts w:ascii="Arial" w:cs="Arial" w:eastAsia="Arial" w:hAnsi="Arial"/>
                <w:sz w:val="20"/>
                <w:szCs w:val="20"/>
                <w:b w:val="1"/>
                <w:bCs w:val="1"/>
                <w:color w:val="auto"/>
              </w:rPr>
              <w:t>Adjusted AFCF ($B)</w:t>
            </w:r>
            <w:r>
              <w:rPr>
                <w:rFonts w:ascii="Arial" w:cs="Arial" w:eastAsia="Arial" w:hAnsi="Arial"/>
                <w:sz w:val="16"/>
                <w:szCs w:val="16"/>
                <w:b w:val="1"/>
                <w:bCs w:val="1"/>
                <w:color w:val="auto"/>
              </w:rPr>
              <w:t>(2)</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25%</w:t>
            </w:r>
          </w:p>
        </w:tc>
        <w:tc>
          <w:tcPr>
            <w:tcW w:w="800" w:type="dxa"/>
            <w:vAlign w:val="bottom"/>
          </w:tcPr>
          <w:p>
            <w:pPr>
              <w:jc w:val="right"/>
              <w:ind w:right="2"/>
              <w:spacing w:after="0"/>
              <w:rPr>
                <w:sz w:val="20"/>
                <w:szCs w:val="20"/>
                <w:color w:val="auto"/>
              </w:rPr>
            </w:pPr>
            <w:r>
              <w:rPr>
                <w:rFonts w:ascii="Arial" w:cs="Arial" w:eastAsia="Arial" w:hAnsi="Arial"/>
                <w:sz w:val="20"/>
                <w:szCs w:val="20"/>
                <w:color w:val="auto"/>
              </w:rPr>
              <w:t>$5.3</w:t>
            </w:r>
          </w:p>
        </w:tc>
        <w:tc>
          <w:tcPr>
            <w:tcW w:w="6780" w:type="dxa"/>
            <w:vAlign w:val="bottom"/>
          </w:tcPr>
          <w:p>
            <w:pPr>
              <w:ind w:left="100"/>
              <w:spacing w:after="0"/>
              <w:rPr>
                <w:sz w:val="20"/>
                <w:szCs w:val="20"/>
                <w:color w:val="auto"/>
              </w:rPr>
            </w:pPr>
            <w:r>
              <w:rPr>
                <w:rFonts w:ascii="Arial" w:cs="Arial" w:eastAsia="Arial" w:hAnsi="Arial"/>
                <w:sz w:val="20"/>
                <w:szCs w:val="20"/>
                <w:color w:val="auto"/>
              </w:rPr>
              <w:t>Focus on driving strong cash flow to invest in the business</w:t>
            </w:r>
          </w:p>
        </w:tc>
      </w:tr>
      <w:tr>
        <w:trPr>
          <w:trHeight w:val="62"/>
        </w:trPr>
        <w:tc>
          <w:tcPr>
            <w:tcW w:w="2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r>
      <w:tr>
        <w:trPr>
          <w:trHeight w:val="341"/>
        </w:trPr>
        <w:tc>
          <w:tcPr>
            <w:tcW w:w="2360" w:type="dxa"/>
            <w:vAlign w:val="bottom"/>
          </w:tcPr>
          <w:p>
            <w:pPr>
              <w:ind w:left="100"/>
              <w:spacing w:after="0"/>
              <w:rPr>
                <w:sz w:val="20"/>
                <w:szCs w:val="20"/>
                <w:color w:val="auto"/>
              </w:rPr>
            </w:pPr>
            <w:r>
              <w:rPr>
                <w:rFonts w:ascii="Arial" w:cs="Arial" w:eastAsia="Arial" w:hAnsi="Arial"/>
                <w:sz w:val="20"/>
                <w:szCs w:val="20"/>
                <w:b w:val="1"/>
                <w:bCs w:val="1"/>
                <w:color w:val="auto"/>
              </w:rPr>
              <w:t>Strategic Goals</w:t>
            </w:r>
          </w:p>
        </w:tc>
        <w:tc>
          <w:tcPr>
            <w:tcW w:w="980" w:type="dxa"/>
            <w:vAlign w:val="bottom"/>
          </w:tcPr>
          <w:p>
            <w:pPr>
              <w:jc w:val="right"/>
              <w:ind w:right="42"/>
              <w:spacing w:after="0"/>
              <w:rPr>
                <w:sz w:val="20"/>
                <w:szCs w:val="20"/>
                <w:color w:val="auto"/>
              </w:rPr>
            </w:pPr>
            <w:r>
              <w:rPr>
                <w:rFonts w:ascii="Arial" w:cs="Arial" w:eastAsia="Arial" w:hAnsi="Arial"/>
                <w:sz w:val="20"/>
                <w:szCs w:val="20"/>
                <w:color w:val="auto"/>
              </w:rPr>
              <w:t>25%</w:t>
            </w:r>
          </w:p>
        </w:tc>
        <w:tc>
          <w:tcPr>
            <w:tcW w:w="800" w:type="dxa"/>
            <w:vAlign w:val="bottom"/>
          </w:tcPr>
          <w:p>
            <w:pPr>
              <w:jc w:val="right"/>
              <w:ind w:right="2"/>
              <w:spacing w:after="0"/>
              <w:rPr>
                <w:sz w:val="20"/>
                <w:szCs w:val="20"/>
                <w:color w:val="auto"/>
              </w:rPr>
            </w:pPr>
            <w:r>
              <w:rPr>
                <w:rFonts w:ascii="Arial" w:cs="Arial" w:eastAsia="Arial" w:hAnsi="Arial"/>
                <w:sz w:val="20"/>
                <w:szCs w:val="20"/>
                <w:color w:val="auto"/>
              </w:rPr>
              <w:t>25 pts.</w:t>
            </w:r>
          </w:p>
        </w:tc>
        <w:tc>
          <w:tcPr>
            <w:tcW w:w="6780" w:type="dxa"/>
            <w:vAlign w:val="bottom"/>
          </w:tcPr>
          <w:p>
            <w:pPr>
              <w:ind w:left="100"/>
              <w:spacing w:after="0"/>
              <w:rPr>
                <w:sz w:val="20"/>
                <w:szCs w:val="20"/>
                <w:color w:val="auto"/>
              </w:rPr>
            </w:pPr>
            <w:r>
              <w:rPr>
                <w:rFonts w:ascii="Arial" w:cs="Arial" w:eastAsia="Arial" w:hAnsi="Arial"/>
                <w:sz w:val="20"/>
                <w:szCs w:val="20"/>
                <w:color w:val="auto"/>
              </w:rPr>
              <w:t>Focus on performance that aligns to the Company vision and drives</w:t>
            </w:r>
          </w:p>
        </w:tc>
      </w:tr>
      <w:tr>
        <w:trPr>
          <w:trHeight w:val="235"/>
        </w:trPr>
        <w:tc>
          <w:tcPr>
            <w:tcW w:w="2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20"/>
                <w:szCs w:val="20"/>
                <w:color w:val="auto"/>
              </w:rPr>
              <w:t>business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7" w:lineRule="exact"/>
        <w:rPr>
          <w:sz w:val="20"/>
          <w:szCs w:val="20"/>
          <w:color w:val="auto"/>
        </w:rPr>
      </w:pPr>
    </w:p>
    <w:p>
      <w:pPr>
        <w:ind w:left="600" w:hanging="433"/>
        <w:spacing w:after="0"/>
        <w:tabs>
          <w:tab w:leader="none" w:pos="6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Measure adjusted for incentive purposes and excludes the impact of Cruise.</w:t>
      </w:r>
    </w:p>
    <w:p>
      <w:pPr>
        <w:spacing w:after="0" w:line="73" w:lineRule="exact"/>
        <w:rPr>
          <w:rFonts w:ascii="Arial" w:cs="Arial" w:eastAsia="Arial" w:hAnsi="Arial"/>
          <w:sz w:val="18"/>
          <w:szCs w:val="18"/>
          <w:i w:val="1"/>
          <w:iCs w:val="1"/>
          <w:color w:val="auto"/>
        </w:rPr>
      </w:pPr>
    </w:p>
    <w:p>
      <w:pPr>
        <w:ind w:left="600" w:right="20" w:hanging="433"/>
        <w:spacing w:after="0" w:line="260" w:lineRule="auto"/>
        <w:tabs>
          <w:tab w:leader="none" w:pos="6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Measure adjusted for incentive purposes and excludes payments related to certain recall-related expenses attributable to events occurring in 2014. For a description of how Adjusted AFCF is calculated, see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793865" cy="101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47</w:t>
      </w:r>
    </w:p>
    <w:p>
      <w:pPr>
        <w:sectPr>
          <w:pgSz w:w="11900" w:h="16838" w:orient="portrait"/>
          <w:cols w:equalWidth="0" w:num="1">
            <w:col w:w="11100"/>
          </w:cols>
          <w:pgMar w:left="320" w:top="456"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potential payouts for each Company performance measure ranges from 0% to 200% of target based on actual Company performance. The payout for threshold performance is 25% for both EBIT-adjusted and Adjusted AFCF. Final STIP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142875</wp:posOffset>
            </wp:positionV>
            <wp:extent cx="5146675" cy="17576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667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 w:hanging="533"/>
        <w:spacing w:after="0"/>
        <w:tabs>
          <w:tab w:leader="none" w:pos="700" w:val="left"/>
        </w:tabs>
        <w:numPr>
          <w:ilvl w:val="0"/>
          <w:numId w:val="64"/>
        </w:numPr>
        <w:rPr>
          <w:rFonts w:ascii="Arial" w:cs="Arial" w:eastAsia="Arial" w:hAnsi="Arial"/>
          <w:sz w:val="25"/>
          <w:szCs w:val="25"/>
          <w:color w:val="0033A0"/>
        </w:rPr>
      </w:pPr>
      <w:r>
        <w:rPr>
          <w:rFonts w:ascii="Arial" w:cs="Arial" w:eastAsia="Arial" w:hAnsi="Arial"/>
          <w:sz w:val="25"/>
          <w:szCs w:val="25"/>
          <w:color w:val="auto"/>
        </w:rPr>
        <w:t>2019–2021 LTIP Performance Measures</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Grants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seeks input from their independent compensation consultant. The structure includes 75% PSUs and 25% Stock Options. PSUs cliff-vest following a three-year performance period and Stock Options vest ratably over three years.</w:t>
      </w:r>
    </w:p>
    <w:p>
      <w:pPr>
        <w:spacing w:after="0" w:line="116"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2019–2021 PSUs are based on Relative ROIC-adjusted and Relative TSR performance against our OEM peers displayed on page 42 of this Proxy Statement. PSU performance measures promote the efficient use of capital for long-term growth to create value for shareholders with an increased focus on stock price appreciation. The table below describes each PSU performance measure, its weighting, its payout, and the behavior each measure drives.</w:t>
      </w: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1440" w:type="dxa"/>
            <w:vAlign w:val="bottom"/>
            <w:tcBorders>
              <w:top w:val="single" w:sz="8" w:color="00A1DF"/>
            </w:tcBorders>
          </w:tcPr>
          <w:p>
            <w:pPr>
              <w:spacing w:after="0" w:line="213" w:lineRule="exact"/>
              <w:rPr>
                <w:sz w:val="20"/>
                <w:szCs w:val="20"/>
                <w:color w:val="auto"/>
              </w:rPr>
            </w:pPr>
            <w:r>
              <w:rPr>
                <w:rFonts w:ascii="Arial" w:cs="Arial" w:eastAsia="Arial" w:hAnsi="Arial"/>
                <w:sz w:val="20"/>
                <w:szCs w:val="20"/>
                <w:b w:val="1"/>
                <w:bCs w:val="1"/>
                <w:color w:val="00A1DF"/>
              </w:rPr>
              <w:t>Performance</w:t>
            </w:r>
          </w:p>
        </w:tc>
        <w:tc>
          <w:tcPr>
            <w:tcW w:w="1100" w:type="dxa"/>
            <w:vAlign w:val="bottom"/>
            <w:tcBorders>
              <w:top w:val="single" w:sz="8" w:color="00A1DF"/>
            </w:tcBorders>
          </w:tcPr>
          <w:p>
            <w:pPr>
              <w:spacing w:after="0"/>
              <w:rPr>
                <w:sz w:val="18"/>
                <w:szCs w:val="18"/>
                <w:color w:val="auto"/>
              </w:rPr>
            </w:pPr>
          </w:p>
        </w:tc>
        <w:tc>
          <w:tcPr>
            <w:tcW w:w="1960" w:type="dxa"/>
            <w:vAlign w:val="bottom"/>
            <w:tcBorders>
              <w:top w:val="single" w:sz="8" w:color="00A1DF"/>
            </w:tcBorders>
          </w:tcPr>
          <w:p>
            <w:pPr>
              <w:spacing w:after="0"/>
              <w:rPr>
                <w:sz w:val="18"/>
                <w:szCs w:val="18"/>
                <w:color w:val="auto"/>
              </w:rPr>
            </w:pPr>
          </w:p>
        </w:tc>
        <w:tc>
          <w:tcPr>
            <w:tcW w:w="2040" w:type="dxa"/>
            <w:vAlign w:val="bottom"/>
            <w:tcBorders>
              <w:top w:val="single" w:sz="8" w:color="00A1DF"/>
            </w:tcBorders>
          </w:tcPr>
          <w:p>
            <w:pPr>
              <w:spacing w:after="0"/>
              <w:rPr>
                <w:sz w:val="18"/>
                <w:szCs w:val="18"/>
                <w:color w:val="auto"/>
              </w:rPr>
            </w:pPr>
          </w:p>
        </w:tc>
        <w:tc>
          <w:tcPr>
            <w:tcW w:w="3720" w:type="dxa"/>
            <w:vAlign w:val="bottom"/>
            <w:tcBorders>
              <w:top w:val="single" w:sz="8" w:color="00A1DF"/>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40" w:type="dxa"/>
            <w:vAlign w:val="bottom"/>
          </w:tcPr>
          <w:p>
            <w:pPr>
              <w:spacing w:after="0"/>
              <w:rPr>
                <w:sz w:val="20"/>
                <w:szCs w:val="20"/>
                <w:color w:val="auto"/>
              </w:rPr>
            </w:pPr>
            <w:r>
              <w:rPr>
                <w:rFonts w:ascii="Arial" w:cs="Arial" w:eastAsia="Arial" w:hAnsi="Arial"/>
                <w:sz w:val="20"/>
                <w:szCs w:val="20"/>
                <w:b w:val="1"/>
                <w:bCs w:val="1"/>
                <w:color w:val="00A1DF"/>
              </w:rPr>
              <w:t>Measure</w:t>
            </w:r>
          </w:p>
        </w:tc>
        <w:tc>
          <w:tcPr>
            <w:tcW w:w="1100" w:type="dxa"/>
            <w:vAlign w:val="bottom"/>
          </w:tcPr>
          <w:p>
            <w:pPr>
              <w:jc w:val="right"/>
              <w:ind w:right="114"/>
              <w:spacing w:after="0"/>
              <w:rPr>
                <w:sz w:val="20"/>
                <w:szCs w:val="20"/>
                <w:color w:val="auto"/>
              </w:rPr>
            </w:pPr>
            <w:r>
              <w:rPr>
                <w:rFonts w:ascii="Arial" w:cs="Arial" w:eastAsia="Arial" w:hAnsi="Arial"/>
                <w:sz w:val="20"/>
                <w:szCs w:val="20"/>
                <w:b w:val="1"/>
                <w:bCs w:val="1"/>
                <w:color w:val="00A1DF"/>
              </w:rPr>
              <w:t>Weight</w:t>
            </w:r>
          </w:p>
        </w:tc>
        <w:tc>
          <w:tcPr>
            <w:tcW w:w="4000" w:type="dxa"/>
            <w:vAlign w:val="bottom"/>
            <w:gridSpan w:val="2"/>
          </w:tcPr>
          <w:p>
            <w:pPr>
              <w:ind w:left="1680"/>
              <w:spacing w:after="0"/>
              <w:rPr>
                <w:sz w:val="20"/>
                <w:szCs w:val="20"/>
                <w:color w:val="auto"/>
              </w:rPr>
            </w:pPr>
            <w:r>
              <w:rPr>
                <w:rFonts w:ascii="Arial" w:cs="Arial" w:eastAsia="Arial" w:hAnsi="Arial"/>
                <w:sz w:val="20"/>
                <w:szCs w:val="20"/>
                <w:b w:val="1"/>
                <w:bCs w:val="1"/>
                <w:color w:val="00A1DF"/>
              </w:rPr>
              <w:t>Payout</w:t>
            </w:r>
          </w:p>
        </w:tc>
        <w:tc>
          <w:tcPr>
            <w:tcW w:w="3720" w:type="dxa"/>
            <w:vAlign w:val="bottom"/>
          </w:tcPr>
          <w:p>
            <w:pPr>
              <w:ind w:left="140"/>
              <w:spacing w:after="0"/>
              <w:rPr>
                <w:sz w:val="20"/>
                <w:szCs w:val="20"/>
                <w:color w:val="auto"/>
              </w:rPr>
            </w:pPr>
            <w:r>
              <w:rPr>
                <w:rFonts w:ascii="Arial" w:cs="Arial" w:eastAsia="Arial" w:hAnsi="Arial"/>
                <w:sz w:val="20"/>
                <w:szCs w:val="20"/>
                <w:b w:val="1"/>
                <w:bCs w:val="1"/>
                <w:color w:val="00A1DF"/>
              </w:rPr>
              <w:t>Leadership Behaviors</w:t>
            </w:r>
          </w:p>
        </w:tc>
        <w:tc>
          <w:tcPr>
            <w:tcW w:w="0" w:type="dxa"/>
            <w:vAlign w:val="bottom"/>
          </w:tcPr>
          <w:p>
            <w:pPr>
              <w:spacing w:after="0"/>
              <w:rPr>
                <w:sz w:val="1"/>
                <w:szCs w:val="1"/>
                <w:color w:val="auto"/>
              </w:rPr>
            </w:pPr>
          </w:p>
        </w:tc>
      </w:tr>
      <w:tr>
        <w:trPr>
          <w:trHeight w:val="62"/>
        </w:trPr>
        <w:tc>
          <w:tcPr>
            <w:tcW w:w="1440" w:type="dxa"/>
            <w:vAlign w:val="bottom"/>
            <w:tcBorders>
              <w:bottom w:val="single" w:sz="8" w:color="00A1DF"/>
            </w:tcBorders>
          </w:tcPr>
          <w:p>
            <w:pPr>
              <w:spacing w:after="0"/>
              <w:rPr>
                <w:sz w:val="5"/>
                <w:szCs w:val="5"/>
                <w:color w:val="auto"/>
              </w:rPr>
            </w:pPr>
          </w:p>
        </w:tc>
        <w:tc>
          <w:tcPr>
            <w:tcW w:w="1100" w:type="dxa"/>
            <w:vAlign w:val="bottom"/>
            <w:tcBorders>
              <w:bottom w:val="single" w:sz="8" w:color="00A1DF"/>
            </w:tcBorders>
          </w:tcPr>
          <w:p>
            <w:pPr>
              <w:spacing w:after="0"/>
              <w:rPr>
                <w:sz w:val="5"/>
                <w:szCs w:val="5"/>
                <w:color w:val="auto"/>
              </w:rPr>
            </w:pPr>
          </w:p>
        </w:tc>
        <w:tc>
          <w:tcPr>
            <w:tcW w:w="1960" w:type="dxa"/>
            <w:vAlign w:val="bottom"/>
            <w:tcBorders>
              <w:bottom w:val="single" w:sz="8" w:color="00A1DF"/>
            </w:tcBorders>
          </w:tcPr>
          <w:p>
            <w:pPr>
              <w:spacing w:after="0"/>
              <w:rPr>
                <w:sz w:val="5"/>
                <w:szCs w:val="5"/>
                <w:color w:val="auto"/>
              </w:rPr>
            </w:pPr>
          </w:p>
        </w:tc>
        <w:tc>
          <w:tcPr>
            <w:tcW w:w="2040" w:type="dxa"/>
            <w:vAlign w:val="bottom"/>
            <w:tcBorders>
              <w:bottom w:val="single" w:sz="8" w:color="00A1DF"/>
            </w:tcBorders>
          </w:tcPr>
          <w:p>
            <w:pPr>
              <w:spacing w:after="0"/>
              <w:rPr>
                <w:sz w:val="5"/>
                <w:szCs w:val="5"/>
                <w:color w:val="auto"/>
              </w:rPr>
            </w:pPr>
          </w:p>
        </w:tc>
        <w:tc>
          <w:tcPr>
            <w:tcW w:w="372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Relative</w:t>
            </w:r>
          </w:p>
        </w:tc>
        <w:tc>
          <w:tcPr>
            <w:tcW w:w="1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Below Threshold (0%) –</w:t>
            </w:r>
          </w:p>
        </w:tc>
        <w:tc>
          <w:tcPr>
            <w:tcW w:w="2040" w:type="dxa"/>
            <w:vAlign w:val="bottom"/>
          </w:tcPr>
          <w:p>
            <w:pPr>
              <w:ind w:left="80"/>
              <w:spacing w:after="0"/>
              <w:rPr>
                <w:sz w:val="20"/>
                <w:szCs w:val="20"/>
                <w:color w:val="auto"/>
              </w:rPr>
            </w:pPr>
            <w:r>
              <w:rPr>
                <w:rFonts w:ascii="Arial" w:cs="Arial" w:eastAsia="Arial" w:hAnsi="Arial"/>
                <w:sz w:val="16"/>
                <w:szCs w:val="16"/>
                <w:color w:val="auto"/>
              </w:rPr>
              <w:t>Less than 35th Percentile</w:t>
            </w:r>
          </w:p>
        </w:tc>
        <w:tc>
          <w:tcPr>
            <w:tcW w:w="3720" w:type="dxa"/>
            <w:vAlign w:val="bottom"/>
          </w:tcPr>
          <w:p>
            <w:pPr>
              <w:ind w:left="140"/>
              <w:spacing w:after="0"/>
              <w:rPr>
                <w:sz w:val="20"/>
                <w:szCs w:val="20"/>
                <w:color w:val="auto"/>
              </w:rPr>
            </w:pPr>
            <w:r>
              <w:rPr>
                <w:rFonts w:ascii="Arial" w:cs="Arial" w:eastAsia="Arial" w:hAnsi="Arial"/>
                <w:sz w:val="16"/>
                <w:szCs w:val="16"/>
                <w:color w:val="auto"/>
              </w:rPr>
              <w:t>Focus on making sound investments that follow</w:t>
            </w:r>
          </w:p>
        </w:tc>
        <w:tc>
          <w:tcPr>
            <w:tcW w:w="0" w:type="dxa"/>
            <w:vAlign w:val="bottom"/>
          </w:tcPr>
          <w:p>
            <w:pPr>
              <w:spacing w:after="0"/>
              <w:rPr>
                <w:sz w:val="1"/>
                <w:szCs w:val="1"/>
                <w:color w:val="auto"/>
              </w:rPr>
            </w:pPr>
          </w:p>
        </w:tc>
      </w:tr>
      <w:tr>
        <w:trPr>
          <w:trHeight w:val="172"/>
        </w:trPr>
        <w:tc>
          <w:tcPr>
            <w:tcW w:w="1440" w:type="dxa"/>
            <w:vAlign w:val="bottom"/>
            <w:vMerge w:val="continue"/>
          </w:tcPr>
          <w:p>
            <w:pPr>
              <w:spacing w:after="0"/>
              <w:rPr>
                <w:sz w:val="14"/>
                <w:szCs w:val="14"/>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6"/>
                <w:szCs w:val="16"/>
                <w:color w:val="auto"/>
              </w:rPr>
              <w:t>67%</w:t>
            </w:r>
          </w:p>
        </w:tc>
        <w:tc>
          <w:tcPr>
            <w:tcW w:w="1960" w:type="dxa"/>
            <w:vAlign w:val="bottom"/>
          </w:tcPr>
          <w:p>
            <w:pPr>
              <w:jc w:val="right"/>
              <w:spacing w:after="0" w:line="172" w:lineRule="exact"/>
              <w:rPr>
                <w:sz w:val="20"/>
                <w:szCs w:val="20"/>
                <w:color w:val="auto"/>
              </w:rPr>
            </w:pPr>
            <w:r>
              <w:rPr>
                <w:rFonts w:ascii="Arial" w:cs="Arial" w:eastAsia="Arial" w:hAnsi="Arial"/>
                <w:sz w:val="16"/>
                <w:szCs w:val="16"/>
                <w:color w:val="auto"/>
              </w:rPr>
              <w:t>Threshold (50%) –</w:t>
            </w:r>
          </w:p>
        </w:tc>
        <w:tc>
          <w:tcPr>
            <w:tcW w:w="2040" w:type="dxa"/>
            <w:vAlign w:val="bottom"/>
          </w:tcPr>
          <w:p>
            <w:pPr>
              <w:ind w:left="80"/>
              <w:spacing w:after="0" w:line="173" w:lineRule="exact"/>
              <w:rPr>
                <w:sz w:val="20"/>
                <w:szCs w:val="20"/>
                <w:color w:val="auto"/>
              </w:rPr>
            </w:pPr>
            <w:r>
              <w:rPr>
                <w:rFonts w:ascii="Arial" w:cs="Arial" w:eastAsia="Arial" w:hAnsi="Arial"/>
                <w:sz w:val="12"/>
                <w:szCs w:val="12"/>
                <w:color w:val="auto"/>
              </w:rPr>
              <w:t>35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Percentile</w:t>
            </w:r>
          </w:p>
        </w:tc>
        <w:tc>
          <w:tcPr>
            <w:tcW w:w="3720" w:type="dxa"/>
            <w:vAlign w:val="bottom"/>
          </w:tcPr>
          <w:p>
            <w:pPr>
              <w:ind w:left="140"/>
              <w:spacing w:after="0" w:line="172" w:lineRule="exact"/>
              <w:rPr>
                <w:sz w:val="20"/>
                <w:szCs w:val="20"/>
                <w:color w:val="auto"/>
              </w:rPr>
            </w:pPr>
            <w:r>
              <w:rPr>
                <w:rFonts w:ascii="Arial" w:cs="Arial" w:eastAsia="Arial" w:hAnsi="Arial"/>
                <w:sz w:val="16"/>
                <w:szCs w:val="16"/>
                <w:color w:val="auto"/>
              </w:rPr>
              <w:t>the disciplined capital approach of driving 20% or</w:t>
            </w:r>
          </w:p>
        </w:tc>
        <w:tc>
          <w:tcPr>
            <w:tcW w:w="0" w:type="dxa"/>
            <w:vAlign w:val="bottom"/>
          </w:tcPr>
          <w:p>
            <w:pPr>
              <w:spacing w:after="0"/>
              <w:rPr>
                <w:sz w:val="1"/>
                <w:szCs w:val="1"/>
                <w:color w:val="auto"/>
              </w:rPr>
            </w:pPr>
          </w:p>
        </w:tc>
      </w:tr>
      <w:tr>
        <w:trPr>
          <w:trHeight w:val="120"/>
        </w:trPr>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ROIC-adjusted</w:t>
            </w:r>
          </w:p>
        </w:tc>
        <w:tc>
          <w:tcPr>
            <w:tcW w:w="1100" w:type="dxa"/>
            <w:vAlign w:val="bottom"/>
            <w:vMerge w:val="continue"/>
          </w:tcPr>
          <w:p>
            <w:pPr>
              <w:spacing w:after="0"/>
              <w:rPr>
                <w:sz w:val="10"/>
                <w:szCs w:val="10"/>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Target (100%) –</w:t>
            </w:r>
          </w:p>
        </w:tc>
        <w:tc>
          <w:tcPr>
            <w:tcW w:w="2040" w:type="dxa"/>
            <w:vAlign w:val="bottom"/>
            <w:vMerge w:val="restart"/>
          </w:tcPr>
          <w:p>
            <w:pPr>
              <w:ind w:left="80"/>
              <w:spacing w:after="0" w:line="202" w:lineRule="exact"/>
              <w:rPr>
                <w:sz w:val="20"/>
                <w:szCs w:val="20"/>
                <w:color w:val="auto"/>
              </w:rPr>
            </w:pPr>
            <w:r>
              <w:rPr>
                <w:rFonts w:ascii="Arial" w:cs="Arial" w:eastAsia="Arial" w:hAnsi="Arial"/>
                <w:sz w:val="14"/>
                <w:szCs w:val="14"/>
                <w:color w:val="auto"/>
              </w:rPr>
              <w:t>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higher returns in world-class vehicles and leading</w:t>
            </w:r>
          </w:p>
        </w:tc>
        <w:tc>
          <w:tcPr>
            <w:tcW w:w="0" w:type="dxa"/>
            <w:vAlign w:val="bottom"/>
          </w:tcPr>
          <w:p>
            <w:pPr>
              <w:spacing w:after="0"/>
              <w:rPr>
                <w:sz w:val="1"/>
                <w:szCs w:val="1"/>
                <w:color w:val="auto"/>
              </w:rPr>
            </w:pPr>
          </w:p>
        </w:tc>
      </w:tr>
      <w:tr>
        <w:trPr>
          <w:trHeight w:val="83"/>
        </w:trPr>
        <w:tc>
          <w:tcPr>
            <w:tcW w:w="14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Maximum (200%) –</w:t>
            </w:r>
          </w:p>
        </w:tc>
        <w:tc>
          <w:tcPr>
            <w:tcW w:w="2040" w:type="dxa"/>
            <w:vAlign w:val="bottom"/>
            <w:tcBorders>
              <w:bottom w:val="single" w:sz="8" w:color="auto"/>
            </w:tcBorders>
          </w:tcPr>
          <w:p>
            <w:pPr>
              <w:ind w:left="80"/>
              <w:spacing w:after="0" w:line="257" w:lineRule="exact"/>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244"/>
        </w:trPr>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Below Threshold (0%) –</w:t>
            </w:r>
          </w:p>
        </w:tc>
        <w:tc>
          <w:tcPr>
            <w:tcW w:w="2040" w:type="dxa"/>
            <w:vAlign w:val="bottom"/>
          </w:tcPr>
          <w:p>
            <w:pPr>
              <w:ind w:left="80"/>
              <w:spacing w:after="0"/>
              <w:rPr>
                <w:sz w:val="20"/>
                <w:szCs w:val="20"/>
                <w:color w:val="auto"/>
              </w:rPr>
            </w:pPr>
            <w:r>
              <w:rPr>
                <w:rFonts w:ascii="Arial" w:cs="Arial" w:eastAsia="Arial" w:hAnsi="Arial"/>
                <w:sz w:val="16"/>
                <w:szCs w:val="16"/>
                <w:color w:val="auto"/>
              </w:rPr>
              <w:t>Less than 25th Percentile</w:t>
            </w: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4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Relative TSR</w:t>
            </w:r>
          </w:p>
        </w:tc>
        <w:tc>
          <w:tcPr>
            <w:tcW w:w="1100" w:type="dxa"/>
            <w:vAlign w:val="bottom"/>
            <w:vMerge w:val="restart"/>
          </w:tcPr>
          <w:p>
            <w:pPr>
              <w:jc w:val="right"/>
              <w:ind w:right="114"/>
              <w:spacing w:after="0"/>
              <w:rPr>
                <w:sz w:val="20"/>
                <w:szCs w:val="20"/>
                <w:color w:val="auto"/>
              </w:rPr>
            </w:pPr>
            <w:r>
              <w:rPr>
                <w:rFonts w:ascii="Arial" w:cs="Arial" w:eastAsia="Arial" w:hAnsi="Arial"/>
                <w:sz w:val="16"/>
                <w:szCs w:val="16"/>
                <w:color w:val="auto"/>
              </w:rPr>
              <w:t>33%</w:t>
            </w:r>
          </w:p>
        </w:tc>
        <w:tc>
          <w:tcPr>
            <w:tcW w:w="1960" w:type="dxa"/>
            <w:vAlign w:val="bottom"/>
          </w:tcPr>
          <w:p>
            <w:pPr>
              <w:jc w:val="right"/>
              <w:spacing w:after="0"/>
              <w:rPr>
                <w:sz w:val="20"/>
                <w:szCs w:val="20"/>
                <w:color w:val="auto"/>
              </w:rPr>
            </w:pPr>
            <w:r>
              <w:rPr>
                <w:rFonts w:ascii="Arial" w:cs="Arial" w:eastAsia="Arial" w:hAnsi="Arial"/>
                <w:sz w:val="16"/>
                <w:szCs w:val="16"/>
                <w:color w:val="auto"/>
              </w:rPr>
              <w:t>Threshold (50%) –</w:t>
            </w:r>
          </w:p>
        </w:tc>
        <w:tc>
          <w:tcPr>
            <w:tcW w:w="2040" w:type="dxa"/>
            <w:vAlign w:val="bottom"/>
          </w:tcPr>
          <w:p>
            <w:pPr>
              <w:ind w:left="80"/>
              <w:spacing w:after="0" w:line="188" w:lineRule="exact"/>
              <w:rPr>
                <w:sz w:val="20"/>
                <w:szCs w:val="20"/>
                <w:color w:val="auto"/>
              </w:rPr>
            </w:pPr>
            <w:r>
              <w:rPr>
                <w:rFonts w:ascii="Arial" w:cs="Arial" w:eastAsia="Arial" w:hAnsi="Arial"/>
                <w:sz w:val="13"/>
                <w:szCs w:val="13"/>
                <w:color w:val="auto"/>
              </w:rPr>
              <w:t>25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3720" w:type="dxa"/>
            <w:vAlign w:val="bottom"/>
          </w:tcPr>
          <w:p>
            <w:pPr>
              <w:ind w:left="140"/>
              <w:spacing w:after="0"/>
              <w:rPr>
                <w:sz w:val="20"/>
                <w:szCs w:val="20"/>
                <w:color w:val="auto"/>
              </w:rPr>
            </w:pPr>
            <w:r>
              <w:rPr>
                <w:rFonts w:ascii="Arial" w:cs="Arial" w:eastAsia="Arial" w:hAnsi="Arial"/>
                <w:sz w:val="16"/>
                <w:szCs w:val="16"/>
                <w:color w:val="auto"/>
              </w:rPr>
              <w:t>Focus on delivering shareholder returns that</w:t>
            </w:r>
          </w:p>
        </w:tc>
        <w:tc>
          <w:tcPr>
            <w:tcW w:w="0" w:type="dxa"/>
            <w:vAlign w:val="bottom"/>
          </w:tcPr>
          <w:p>
            <w:pPr>
              <w:spacing w:after="0"/>
              <w:rPr>
                <w:sz w:val="1"/>
                <w:szCs w:val="1"/>
                <w:color w:val="auto"/>
              </w:rPr>
            </w:pPr>
          </w:p>
        </w:tc>
      </w:tr>
      <w:tr>
        <w:trPr>
          <w:trHeight w:val="105"/>
        </w:trPr>
        <w:tc>
          <w:tcPr>
            <w:tcW w:w="14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Target (100%) –</w:t>
            </w:r>
          </w:p>
        </w:tc>
        <w:tc>
          <w:tcPr>
            <w:tcW w:w="2040" w:type="dxa"/>
            <w:vAlign w:val="bottom"/>
            <w:vMerge w:val="restart"/>
          </w:tcPr>
          <w:p>
            <w:pPr>
              <w:ind w:left="80"/>
              <w:spacing w:after="0" w:line="188" w:lineRule="exact"/>
              <w:rPr>
                <w:sz w:val="20"/>
                <w:szCs w:val="20"/>
                <w:color w:val="auto"/>
              </w:rPr>
            </w:pPr>
            <w:r>
              <w:rPr>
                <w:rFonts w:ascii="Arial" w:cs="Arial" w:eastAsia="Arial" w:hAnsi="Arial"/>
                <w:sz w:val="13"/>
                <w:szCs w:val="13"/>
                <w:color w:val="auto"/>
              </w:rPr>
              <w:t>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w:t>
            </w:r>
          </w:p>
        </w:tc>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outperform our OEM peers</w:t>
            </w:r>
          </w:p>
        </w:tc>
        <w:tc>
          <w:tcPr>
            <w:tcW w:w="0" w:type="dxa"/>
            <w:vAlign w:val="bottom"/>
          </w:tcPr>
          <w:p>
            <w:pPr>
              <w:spacing w:after="0"/>
              <w:rPr>
                <w:sz w:val="1"/>
                <w:szCs w:val="1"/>
                <w:color w:val="auto"/>
              </w:rPr>
            </w:pPr>
          </w:p>
        </w:tc>
      </w:tr>
      <w:tr>
        <w:trPr>
          <w:trHeight w:val="83"/>
        </w:trPr>
        <w:tc>
          <w:tcPr>
            <w:tcW w:w="1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440" w:type="dxa"/>
            <w:vAlign w:val="bottom"/>
            <w:tcBorders>
              <w:bottom w:val="single" w:sz="8" w:color="0033A0"/>
            </w:tcBorders>
          </w:tcPr>
          <w:p>
            <w:pPr>
              <w:spacing w:after="0"/>
              <w:rPr>
                <w:sz w:val="24"/>
                <w:szCs w:val="24"/>
                <w:color w:val="auto"/>
              </w:rPr>
            </w:pPr>
          </w:p>
        </w:tc>
        <w:tc>
          <w:tcPr>
            <w:tcW w:w="1100" w:type="dxa"/>
            <w:vAlign w:val="bottom"/>
            <w:tcBorders>
              <w:bottom w:val="single" w:sz="8" w:color="0033A0"/>
            </w:tcBorders>
          </w:tcPr>
          <w:p>
            <w:pPr>
              <w:spacing w:after="0"/>
              <w:rPr>
                <w:sz w:val="24"/>
                <w:szCs w:val="24"/>
                <w:color w:val="auto"/>
              </w:rPr>
            </w:pPr>
          </w:p>
        </w:tc>
        <w:tc>
          <w:tcPr>
            <w:tcW w:w="1960" w:type="dxa"/>
            <w:vAlign w:val="bottom"/>
            <w:tcBorders>
              <w:bottom w:val="single" w:sz="8" w:color="0033A0"/>
            </w:tcBorders>
          </w:tcPr>
          <w:p>
            <w:pPr>
              <w:jc w:val="right"/>
              <w:spacing w:after="0"/>
              <w:rPr>
                <w:sz w:val="20"/>
                <w:szCs w:val="20"/>
                <w:color w:val="auto"/>
              </w:rPr>
            </w:pPr>
            <w:r>
              <w:rPr>
                <w:rFonts w:ascii="Arial" w:cs="Arial" w:eastAsia="Arial" w:hAnsi="Arial"/>
                <w:sz w:val="16"/>
                <w:szCs w:val="16"/>
                <w:color w:val="auto"/>
              </w:rPr>
              <w:t>Maximum (200%) –</w:t>
            </w:r>
          </w:p>
        </w:tc>
        <w:tc>
          <w:tcPr>
            <w:tcW w:w="2040" w:type="dxa"/>
            <w:vAlign w:val="bottom"/>
            <w:tcBorders>
              <w:bottom w:val="single" w:sz="8" w:color="0033A0"/>
            </w:tcBorders>
          </w:tcPr>
          <w:p>
            <w:pPr>
              <w:ind w:left="80"/>
              <w:spacing w:after="0" w:line="284" w:lineRule="exact"/>
              <w:rPr>
                <w:sz w:val="20"/>
                <w:szCs w:val="20"/>
                <w:color w:val="auto"/>
              </w:rPr>
            </w:pPr>
            <w:r>
              <w:rPr>
                <w:rFonts w:ascii="Arial" w:cs="Arial" w:eastAsia="Arial" w:hAnsi="Arial"/>
                <w:sz w:val="16"/>
                <w:szCs w:val="16"/>
                <w:color w:val="auto"/>
              </w:rPr>
              <w:t>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3720" w:type="dxa"/>
            <w:vAlign w:val="bottom"/>
            <w:tcBorders>
              <w:bottom w:val="single" w:sz="8" w:color="0033A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93345</wp:posOffset>
            </wp:positionV>
            <wp:extent cx="6793865" cy="1016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48</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The 2019–2021 PSUs vest and are awarded and delivered following the completion of the three-year performance period beginning January 1, 2019, and may be earned at a level between 0% and 200% of target based on actual Company results.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142875</wp:posOffset>
            </wp:positionV>
            <wp:extent cx="4696460" cy="17576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69646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 w:hanging="533"/>
        <w:spacing w:after="0"/>
        <w:tabs>
          <w:tab w:leader="none" w:pos="700" w:val="left"/>
        </w:tabs>
        <w:numPr>
          <w:ilvl w:val="0"/>
          <w:numId w:val="65"/>
        </w:numPr>
        <w:rPr>
          <w:rFonts w:ascii="Arial" w:cs="Arial" w:eastAsia="Arial" w:hAnsi="Arial"/>
          <w:sz w:val="25"/>
          <w:szCs w:val="25"/>
          <w:color w:val="0033A0"/>
        </w:rPr>
      </w:pPr>
      <w:r>
        <w:rPr>
          <w:rFonts w:ascii="Arial" w:cs="Arial" w:eastAsia="Arial" w:hAnsi="Arial"/>
          <w:sz w:val="25"/>
          <w:szCs w:val="25"/>
          <w:color w:val="auto"/>
        </w:rPr>
        <w:t>Summary of Outstanding Performance Awards</w:t>
      </w:r>
    </w:p>
    <w:p>
      <w:pPr>
        <w:spacing w:after="0" w:line="149"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Each PSU award features a three-year performance period and beginning with the start of each new fiscal year, resulting in overlapping awards that, in aggregate, cover a five-year period. The potential payout for each PSU award ranges from 0% to 200%. The table below illustrates the performance period for the three outstanding awards and corresponding performance measures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143510</wp:posOffset>
            </wp:positionV>
            <wp:extent cx="4925695" cy="15881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569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00" w:hanging="435"/>
        <w:spacing w:after="0"/>
        <w:tabs>
          <w:tab w:leader="none" w:pos="190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The performance of each award will be measured and determined at the end of the performance period.</w:t>
      </w:r>
    </w:p>
    <w:p>
      <w:pPr>
        <w:spacing w:after="0" w:line="73" w:lineRule="exact"/>
        <w:rPr>
          <w:rFonts w:ascii="Arial" w:cs="Arial" w:eastAsia="Arial" w:hAnsi="Arial"/>
          <w:sz w:val="18"/>
          <w:szCs w:val="18"/>
          <w:i w:val="1"/>
          <w:iCs w:val="1"/>
          <w:color w:val="auto"/>
        </w:rPr>
      </w:pPr>
    </w:p>
    <w:p>
      <w:pPr>
        <w:ind w:left="1900" w:right="120" w:hanging="435"/>
        <w:spacing w:after="0" w:line="260" w:lineRule="auto"/>
        <w:tabs>
          <w:tab w:leader="none" w:pos="190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Beginning in 2020, relative ROIC-adjusted is capped at target if GM’s ROIC-adjusted does not exceed GM’s WACC and Relative TSR is capped at target if GM’s TSR is negative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793865" cy="101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49</w:t>
      </w:r>
    </w:p>
    <w:p>
      <w:pPr>
        <w:sectPr>
          <w:pgSz w:w="11900" w:h="16838" w:orient="portrait"/>
          <w:cols w:equalWidth="0" w:num="1">
            <w:col w:w="11100"/>
          </w:cols>
          <w:pgMar w:left="320" w:top="45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Performance Results and Compensation Decisions</w:t>
      </w:r>
    </w:p>
    <w:p>
      <w:pPr>
        <w:spacing w:after="0" w:line="155" w:lineRule="exact"/>
        <w:rPr>
          <w:sz w:val="20"/>
          <w:szCs w:val="20"/>
          <w:color w:val="auto"/>
        </w:rPr>
      </w:pPr>
    </w:p>
    <w:p>
      <w:pPr>
        <w:ind w:left="700" w:hanging="533"/>
        <w:spacing w:after="0"/>
        <w:tabs>
          <w:tab w:leader="none" w:pos="700" w:val="left"/>
        </w:tabs>
        <w:numPr>
          <w:ilvl w:val="0"/>
          <w:numId w:val="67"/>
        </w:numPr>
        <w:rPr>
          <w:rFonts w:ascii="Arial" w:cs="Arial" w:eastAsia="Arial" w:hAnsi="Arial"/>
          <w:sz w:val="25"/>
          <w:szCs w:val="25"/>
          <w:color w:val="0033A0"/>
        </w:rPr>
      </w:pPr>
      <w:r>
        <w:rPr>
          <w:rFonts w:ascii="Arial" w:cs="Arial" w:eastAsia="Arial" w:hAnsi="Arial"/>
          <w:sz w:val="25"/>
          <w:szCs w:val="25"/>
          <w:color w:val="auto"/>
        </w:rPr>
        <w:t>2019 STIP Results</w:t>
      </w:r>
    </w:p>
    <w:p>
      <w:pPr>
        <w:spacing w:after="0" w:line="149" w:lineRule="exact"/>
        <w:rPr>
          <w:sz w:val="20"/>
          <w:szCs w:val="20"/>
          <w:color w:val="auto"/>
        </w:rPr>
      </w:pPr>
    </w:p>
    <w:p>
      <w:pPr>
        <w:jc w:val="both"/>
        <w:ind w:left="160"/>
        <w:spacing w:after="0" w:line="244" w:lineRule="auto"/>
        <w:rPr>
          <w:sz w:val="20"/>
          <w:szCs w:val="20"/>
          <w:color w:val="auto"/>
        </w:rPr>
      </w:pPr>
      <w:r>
        <w:rPr>
          <w:rFonts w:ascii="Arial" w:cs="Arial" w:eastAsia="Arial" w:hAnsi="Arial"/>
          <w:sz w:val="19"/>
          <w:szCs w:val="19"/>
          <w:color w:val="auto"/>
        </w:rPr>
        <w:t>The Company portion of the 2019 STIP award was calculated based on the Company’s achievement of EBIT-adjusted and Adjusted AFCF performance measures. In addition, each NEO has a portion of their STIP that measures performance against pre-established strategic goals. Final STIP performance approved by the Compensation Committee is displayed below.</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960" w:type="dxa"/>
            <w:vAlign w:val="bottom"/>
            <w:tcBorders>
              <w:top w:val="single" w:sz="8" w:color="00A1DF"/>
            </w:tcBorders>
          </w:tcPr>
          <w:p>
            <w:pPr>
              <w:spacing w:after="0"/>
              <w:rPr>
                <w:sz w:val="18"/>
                <w:szCs w:val="18"/>
                <w:color w:val="auto"/>
              </w:rPr>
            </w:pPr>
          </w:p>
        </w:tc>
        <w:tc>
          <w:tcPr>
            <w:tcW w:w="1920" w:type="dxa"/>
            <w:vAlign w:val="bottom"/>
            <w:tcBorders>
              <w:top w:val="single" w:sz="8" w:color="00A1DF"/>
            </w:tcBorders>
          </w:tcPr>
          <w:p>
            <w:pPr>
              <w:spacing w:after="0"/>
              <w:rPr>
                <w:sz w:val="18"/>
                <w:szCs w:val="18"/>
                <w:color w:val="auto"/>
              </w:rPr>
            </w:pPr>
          </w:p>
        </w:tc>
        <w:tc>
          <w:tcPr>
            <w:tcW w:w="1680" w:type="dxa"/>
            <w:vAlign w:val="bottom"/>
            <w:tcBorders>
              <w:top w:val="single" w:sz="8" w:color="00A1DF"/>
            </w:tcBorders>
          </w:tcPr>
          <w:p>
            <w:pPr>
              <w:spacing w:after="0"/>
              <w:rPr>
                <w:sz w:val="18"/>
                <w:szCs w:val="18"/>
                <w:color w:val="auto"/>
              </w:rPr>
            </w:pPr>
          </w:p>
        </w:tc>
        <w:tc>
          <w:tcPr>
            <w:tcW w:w="1320" w:type="dxa"/>
            <w:vAlign w:val="bottom"/>
            <w:tcBorders>
              <w:top w:val="single" w:sz="8" w:color="00A1DF"/>
            </w:tcBorders>
          </w:tcPr>
          <w:p>
            <w:pPr>
              <w:spacing w:after="0"/>
              <w:rPr>
                <w:sz w:val="18"/>
                <w:szCs w:val="18"/>
                <w:color w:val="auto"/>
              </w:rPr>
            </w:pPr>
          </w:p>
        </w:tc>
        <w:tc>
          <w:tcPr>
            <w:tcW w:w="1520" w:type="dxa"/>
            <w:vAlign w:val="bottom"/>
            <w:tcBorders>
              <w:top w:val="single" w:sz="8" w:color="00A1DF"/>
            </w:tcBorders>
          </w:tcPr>
          <w:p>
            <w:pPr>
              <w:spacing w:after="0"/>
              <w:rPr>
                <w:sz w:val="18"/>
                <w:szCs w:val="18"/>
                <w:color w:val="auto"/>
              </w:rPr>
            </w:pPr>
          </w:p>
        </w:tc>
        <w:tc>
          <w:tcPr>
            <w:tcW w:w="152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Performance</w:t>
            </w:r>
          </w:p>
        </w:tc>
      </w:tr>
      <w:tr>
        <w:trPr>
          <w:trHeight w:val="273"/>
        </w:trPr>
        <w:tc>
          <w:tcPr>
            <w:tcW w:w="2960" w:type="dxa"/>
            <w:vAlign w:val="bottom"/>
          </w:tcPr>
          <w:p>
            <w:pPr>
              <w:spacing w:after="0"/>
              <w:rPr>
                <w:sz w:val="20"/>
                <w:szCs w:val="20"/>
                <w:color w:val="auto"/>
              </w:rPr>
            </w:pPr>
            <w:r>
              <w:rPr>
                <w:rFonts w:ascii="Arial" w:cs="Arial" w:eastAsia="Arial" w:hAnsi="Arial"/>
                <w:sz w:val="20"/>
                <w:szCs w:val="20"/>
                <w:b w:val="1"/>
                <w:bCs w:val="1"/>
                <w:color w:val="00A1DF"/>
              </w:rPr>
              <w:t>STIP Measure</w:t>
            </w:r>
          </w:p>
        </w:tc>
        <w:tc>
          <w:tcPr>
            <w:tcW w:w="1920" w:type="dxa"/>
            <w:vAlign w:val="bottom"/>
          </w:tcPr>
          <w:p>
            <w:pPr>
              <w:jc w:val="right"/>
              <w:ind w:right="262"/>
              <w:spacing w:after="0"/>
              <w:rPr>
                <w:sz w:val="20"/>
                <w:szCs w:val="20"/>
                <w:color w:val="auto"/>
              </w:rPr>
            </w:pPr>
            <w:r>
              <w:rPr>
                <w:rFonts w:ascii="Arial" w:cs="Arial" w:eastAsia="Arial" w:hAnsi="Arial"/>
                <w:sz w:val="20"/>
                <w:szCs w:val="20"/>
                <w:b w:val="1"/>
                <w:bCs w:val="1"/>
                <w:color w:val="00A1DF"/>
              </w:rPr>
              <w:t>Weight</w:t>
            </w:r>
          </w:p>
        </w:tc>
        <w:tc>
          <w:tcPr>
            <w:tcW w:w="1680" w:type="dxa"/>
            <w:vAlign w:val="bottom"/>
          </w:tcPr>
          <w:p>
            <w:pPr>
              <w:jc w:val="right"/>
              <w:ind w:right="282"/>
              <w:spacing w:after="0"/>
              <w:rPr>
                <w:sz w:val="20"/>
                <w:szCs w:val="20"/>
                <w:color w:val="auto"/>
              </w:rPr>
            </w:pPr>
            <w:r>
              <w:rPr>
                <w:rFonts w:ascii="Arial" w:cs="Arial" w:eastAsia="Arial" w:hAnsi="Arial"/>
                <w:sz w:val="20"/>
                <w:szCs w:val="20"/>
                <w:b w:val="1"/>
                <w:bCs w:val="1"/>
                <w:color w:val="00A1DF"/>
              </w:rPr>
              <w:t>Threshold</w:t>
            </w:r>
          </w:p>
        </w:tc>
        <w:tc>
          <w:tcPr>
            <w:tcW w:w="1320" w:type="dxa"/>
            <w:vAlign w:val="bottom"/>
          </w:tcPr>
          <w:p>
            <w:pPr>
              <w:jc w:val="right"/>
              <w:ind w:right="262"/>
              <w:spacing w:after="0"/>
              <w:rPr>
                <w:sz w:val="20"/>
                <w:szCs w:val="20"/>
                <w:color w:val="auto"/>
              </w:rPr>
            </w:pPr>
            <w:r>
              <w:rPr>
                <w:rFonts w:ascii="Arial" w:cs="Arial" w:eastAsia="Arial" w:hAnsi="Arial"/>
                <w:sz w:val="20"/>
                <w:szCs w:val="20"/>
                <w:b w:val="1"/>
                <w:bCs w:val="1"/>
                <w:color w:val="00A1DF"/>
              </w:rPr>
              <w:t>Target</w:t>
            </w:r>
          </w:p>
        </w:tc>
        <w:tc>
          <w:tcPr>
            <w:tcW w:w="1520" w:type="dxa"/>
            <w:vAlign w:val="bottom"/>
          </w:tcPr>
          <w:p>
            <w:pPr>
              <w:jc w:val="right"/>
              <w:ind w:right="182"/>
              <w:spacing w:after="0"/>
              <w:rPr>
                <w:sz w:val="20"/>
                <w:szCs w:val="20"/>
                <w:color w:val="auto"/>
              </w:rPr>
            </w:pPr>
            <w:r>
              <w:rPr>
                <w:rFonts w:ascii="Arial" w:cs="Arial" w:eastAsia="Arial" w:hAnsi="Arial"/>
                <w:sz w:val="20"/>
                <w:szCs w:val="20"/>
                <w:b w:val="1"/>
                <w:bCs w:val="1"/>
                <w:color w:val="00A1DF"/>
              </w:rPr>
              <w:t>Maximum</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00A1DF"/>
              </w:rPr>
              <w:t>Results</w:t>
            </w:r>
          </w:p>
        </w:tc>
      </w:tr>
      <w:tr>
        <w:trPr>
          <w:trHeight w:val="62"/>
        </w:trPr>
        <w:tc>
          <w:tcPr>
            <w:tcW w:w="2960" w:type="dxa"/>
            <w:vAlign w:val="bottom"/>
            <w:tcBorders>
              <w:bottom w:val="single" w:sz="8" w:color="00A1DF"/>
            </w:tcBorders>
          </w:tcPr>
          <w:p>
            <w:pPr>
              <w:spacing w:after="0"/>
              <w:rPr>
                <w:sz w:val="5"/>
                <w:szCs w:val="5"/>
                <w:color w:val="auto"/>
              </w:rPr>
            </w:pPr>
          </w:p>
        </w:tc>
        <w:tc>
          <w:tcPr>
            <w:tcW w:w="1920" w:type="dxa"/>
            <w:vAlign w:val="bottom"/>
            <w:tcBorders>
              <w:bottom w:val="single" w:sz="8" w:color="00A1DF"/>
            </w:tcBorders>
          </w:tcPr>
          <w:p>
            <w:pPr>
              <w:spacing w:after="0"/>
              <w:rPr>
                <w:sz w:val="5"/>
                <w:szCs w:val="5"/>
                <w:color w:val="auto"/>
              </w:rPr>
            </w:pPr>
          </w:p>
        </w:tc>
        <w:tc>
          <w:tcPr>
            <w:tcW w:w="1680" w:type="dxa"/>
            <w:vAlign w:val="bottom"/>
            <w:tcBorders>
              <w:bottom w:val="single" w:sz="8" w:color="00A1DF"/>
            </w:tcBorders>
          </w:tcPr>
          <w:p>
            <w:pPr>
              <w:spacing w:after="0"/>
              <w:rPr>
                <w:sz w:val="5"/>
                <w:szCs w:val="5"/>
                <w:color w:val="auto"/>
              </w:rPr>
            </w:pPr>
          </w:p>
        </w:tc>
        <w:tc>
          <w:tcPr>
            <w:tcW w:w="1320" w:type="dxa"/>
            <w:vAlign w:val="bottom"/>
            <w:tcBorders>
              <w:bottom w:val="single" w:sz="8" w:color="00A1DF"/>
            </w:tcBorders>
          </w:tcPr>
          <w:p>
            <w:pPr>
              <w:spacing w:after="0"/>
              <w:rPr>
                <w:sz w:val="5"/>
                <w:szCs w:val="5"/>
                <w:color w:val="auto"/>
              </w:rPr>
            </w:pPr>
          </w:p>
        </w:tc>
        <w:tc>
          <w:tcPr>
            <w:tcW w:w="1520" w:type="dxa"/>
            <w:vAlign w:val="bottom"/>
            <w:tcBorders>
              <w:bottom w:val="single" w:sz="8" w:color="00A1DF"/>
            </w:tcBorders>
          </w:tcPr>
          <w:p>
            <w:pPr>
              <w:spacing w:after="0"/>
              <w:rPr>
                <w:sz w:val="5"/>
                <w:szCs w:val="5"/>
                <w:color w:val="auto"/>
              </w:rPr>
            </w:pPr>
          </w:p>
        </w:tc>
        <w:tc>
          <w:tcPr>
            <w:tcW w:w="1520" w:type="dxa"/>
            <w:vAlign w:val="bottom"/>
            <w:tcBorders>
              <w:bottom w:val="single" w:sz="8" w:color="00A1DF"/>
            </w:tcBorders>
          </w:tcPr>
          <w:p>
            <w:pPr>
              <w:spacing w:after="0"/>
              <w:rPr>
                <w:sz w:val="5"/>
                <w:szCs w:val="5"/>
                <w:color w:val="auto"/>
              </w:rPr>
            </w:pPr>
          </w:p>
        </w:tc>
      </w:tr>
      <w:tr>
        <w:trPr>
          <w:trHeight w:val="292"/>
        </w:trPr>
        <w:tc>
          <w:tcPr>
            <w:tcW w:w="2960" w:type="dxa"/>
            <w:vAlign w:val="bottom"/>
          </w:tcPr>
          <w:p>
            <w:pPr>
              <w:ind w:left="100"/>
              <w:spacing w:after="0"/>
              <w:rPr>
                <w:sz w:val="20"/>
                <w:szCs w:val="20"/>
                <w:color w:val="auto"/>
              </w:rPr>
            </w:pPr>
            <w:r>
              <w:rPr>
                <w:rFonts w:ascii="Arial" w:cs="Arial" w:eastAsia="Arial" w:hAnsi="Arial"/>
                <w:sz w:val="20"/>
                <w:szCs w:val="20"/>
                <w:color w:val="auto"/>
              </w:rPr>
              <w:t>EBIT-adjusted ($B)</w:t>
            </w:r>
            <w:r>
              <w:rPr>
                <w:rFonts w:ascii="Arial" w:cs="Arial" w:eastAsia="Arial" w:hAnsi="Arial"/>
                <w:sz w:val="16"/>
                <w:szCs w:val="16"/>
                <w:color w:val="auto"/>
              </w:rPr>
              <w:t>(1)</w:t>
            </w:r>
          </w:p>
        </w:tc>
        <w:tc>
          <w:tcPr>
            <w:tcW w:w="1920" w:type="dxa"/>
            <w:vAlign w:val="bottom"/>
          </w:tcPr>
          <w:p>
            <w:pPr>
              <w:jc w:val="right"/>
              <w:ind w:right="262"/>
              <w:spacing w:after="0"/>
              <w:rPr>
                <w:sz w:val="20"/>
                <w:szCs w:val="20"/>
                <w:color w:val="auto"/>
              </w:rPr>
            </w:pPr>
            <w:r>
              <w:rPr>
                <w:rFonts w:ascii="Arial" w:cs="Arial" w:eastAsia="Arial" w:hAnsi="Arial"/>
                <w:sz w:val="20"/>
                <w:szCs w:val="20"/>
                <w:color w:val="auto"/>
              </w:rPr>
              <w:t>50%</w:t>
            </w:r>
          </w:p>
        </w:tc>
        <w:tc>
          <w:tcPr>
            <w:tcW w:w="1680" w:type="dxa"/>
            <w:vAlign w:val="bottom"/>
          </w:tcPr>
          <w:p>
            <w:pPr>
              <w:jc w:val="right"/>
              <w:ind w:right="282"/>
              <w:spacing w:after="0"/>
              <w:rPr>
                <w:sz w:val="20"/>
                <w:szCs w:val="20"/>
                <w:color w:val="auto"/>
              </w:rPr>
            </w:pPr>
            <w:r>
              <w:rPr>
                <w:rFonts w:ascii="Arial" w:cs="Arial" w:eastAsia="Arial" w:hAnsi="Arial"/>
                <w:sz w:val="20"/>
                <w:szCs w:val="20"/>
                <w:color w:val="auto"/>
              </w:rPr>
              <w:t>$7.8</w:t>
            </w:r>
          </w:p>
        </w:tc>
        <w:tc>
          <w:tcPr>
            <w:tcW w:w="1320" w:type="dxa"/>
            <w:vAlign w:val="bottom"/>
          </w:tcPr>
          <w:p>
            <w:pPr>
              <w:jc w:val="right"/>
              <w:ind w:right="262"/>
              <w:spacing w:after="0"/>
              <w:rPr>
                <w:sz w:val="20"/>
                <w:szCs w:val="20"/>
                <w:color w:val="auto"/>
              </w:rPr>
            </w:pPr>
            <w:r>
              <w:rPr>
                <w:rFonts w:ascii="Arial" w:cs="Arial" w:eastAsia="Arial" w:hAnsi="Arial"/>
                <w:sz w:val="20"/>
                <w:szCs w:val="20"/>
                <w:color w:val="auto"/>
              </w:rPr>
              <w:t>$13.7</w:t>
            </w:r>
          </w:p>
        </w:tc>
        <w:tc>
          <w:tcPr>
            <w:tcW w:w="1520" w:type="dxa"/>
            <w:vAlign w:val="bottom"/>
          </w:tcPr>
          <w:p>
            <w:pPr>
              <w:jc w:val="right"/>
              <w:ind w:right="182"/>
              <w:spacing w:after="0"/>
              <w:rPr>
                <w:sz w:val="20"/>
                <w:szCs w:val="20"/>
                <w:color w:val="auto"/>
              </w:rPr>
            </w:pPr>
            <w:r>
              <w:rPr>
                <w:rFonts w:ascii="Arial" w:cs="Arial" w:eastAsia="Arial" w:hAnsi="Arial"/>
                <w:sz w:val="20"/>
                <w:szCs w:val="20"/>
                <w:color w:val="auto"/>
              </w:rPr>
              <w:t>$15.6</w:t>
            </w:r>
          </w:p>
        </w:tc>
        <w:tc>
          <w:tcPr>
            <w:tcW w:w="152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62"/>
        </w:trPr>
        <w:tc>
          <w:tcPr>
            <w:tcW w:w="29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92"/>
        </w:trPr>
        <w:tc>
          <w:tcPr>
            <w:tcW w:w="2960" w:type="dxa"/>
            <w:vAlign w:val="bottom"/>
          </w:tcPr>
          <w:p>
            <w:pPr>
              <w:ind w:left="100"/>
              <w:spacing w:after="0"/>
              <w:rPr>
                <w:sz w:val="20"/>
                <w:szCs w:val="20"/>
                <w:color w:val="auto"/>
              </w:rPr>
            </w:pPr>
            <w:r>
              <w:rPr>
                <w:rFonts w:ascii="Arial" w:cs="Arial" w:eastAsia="Arial" w:hAnsi="Arial"/>
                <w:sz w:val="20"/>
                <w:szCs w:val="20"/>
                <w:color w:val="auto"/>
              </w:rPr>
              <w:t>Adjusted AFCF ($B)</w:t>
            </w:r>
            <w:r>
              <w:rPr>
                <w:rFonts w:ascii="Arial" w:cs="Arial" w:eastAsia="Arial" w:hAnsi="Arial"/>
                <w:sz w:val="16"/>
                <w:szCs w:val="16"/>
                <w:color w:val="auto"/>
              </w:rPr>
              <w:t>(2)</w:t>
            </w:r>
          </w:p>
        </w:tc>
        <w:tc>
          <w:tcPr>
            <w:tcW w:w="1920" w:type="dxa"/>
            <w:vAlign w:val="bottom"/>
          </w:tcPr>
          <w:p>
            <w:pPr>
              <w:jc w:val="right"/>
              <w:ind w:right="262"/>
              <w:spacing w:after="0"/>
              <w:rPr>
                <w:sz w:val="20"/>
                <w:szCs w:val="20"/>
                <w:color w:val="auto"/>
              </w:rPr>
            </w:pPr>
            <w:r>
              <w:rPr>
                <w:rFonts w:ascii="Arial" w:cs="Arial" w:eastAsia="Arial" w:hAnsi="Arial"/>
                <w:sz w:val="20"/>
                <w:szCs w:val="20"/>
                <w:color w:val="auto"/>
              </w:rPr>
              <w:t>25%</w:t>
            </w:r>
          </w:p>
        </w:tc>
        <w:tc>
          <w:tcPr>
            <w:tcW w:w="1680" w:type="dxa"/>
            <w:vAlign w:val="bottom"/>
          </w:tcPr>
          <w:p>
            <w:pPr>
              <w:jc w:val="right"/>
              <w:ind w:right="282"/>
              <w:spacing w:after="0"/>
              <w:rPr>
                <w:sz w:val="20"/>
                <w:szCs w:val="20"/>
                <w:color w:val="auto"/>
              </w:rPr>
            </w:pPr>
            <w:r>
              <w:rPr>
                <w:rFonts w:ascii="Arial" w:cs="Arial" w:eastAsia="Arial" w:hAnsi="Arial"/>
                <w:sz w:val="20"/>
                <w:szCs w:val="20"/>
                <w:color w:val="auto"/>
              </w:rPr>
              <w:t>$0.0</w:t>
            </w:r>
          </w:p>
        </w:tc>
        <w:tc>
          <w:tcPr>
            <w:tcW w:w="1320" w:type="dxa"/>
            <w:vAlign w:val="bottom"/>
          </w:tcPr>
          <w:p>
            <w:pPr>
              <w:jc w:val="right"/>
              <w:ind w:right="262"/>
              <w:spacing w:after="0"/>
              <w:rPr>
                <w:sz w:val="20"/>
                <w:szCs w:val="20"/>
                <w:color w:val="auto"/>
              </w:rPr>
            </w:pPr>
            <w:r>
              <w:rPr>
                <w:rFonts w:ascii="Arial" w:cs="Arial" w:eastAsia="Arial" w:hAnsi="Arial"/>
                <w:sz w:val="20"/>
                <w:szCs w:val="20"/>
                <w:color w:val="auto"/>
              </w:rPr>
              <w:t>$5.3</w:t>
            </w:r>
          </w:p>
        </w:tc>
        <w:tc>
          <w:tcPr>
            <w:tcW w:w="1520" w:type="dxa"/>
            <w:vAlign w:val="bottom"/>
          </w:tcPr>
          <w:p>
            <w:pPr>
              <w:jc w:val="right"/>
              <w:ind w:right="182"/>
              <w:spacing w:after="0"/>
              <w:rPr>
                <w:sz w:val="20"/>
                <w:szCs w:val="20"/>
                <w:color w:val="auto"/>
              </w:rPr>
            </w:pPr>
            <w:r>
              <w:rPr>
                <w:rFonts w:ascii="Arial" w:cs="Arial" w:eastAsia="Arial" w:hAnsi="Arial"/>
                <w:sz w:val="20"/>
                <w:szCs w:val="20"/>
                <w:color w:val="auto"/>
              </w:rPr>
              <w:t>$6.3</w:t>
            </w:r>
          </w:p>
        </w:tc>
        <w:tc>
          <w:tcPr>
            <w:tcW w:w="15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62"/>
        </w:trPr>
        <w:tc>
          <w:tcPr>
            <w:tcW w:w="29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92"/>
        </w:trPr>
        <w:tc>
          <w:tcPr>
            <w:tcW w:w="2960" w:type="dxa"/>
            <w:vAlign w:val="bottom"/>
          </w:tcPr>
          <w:p>
            <w:pPr>
              <w:ind w:left="100"/>
              <w:spacing w:after="0"/>
              <w:rPr>
                <w:sz w:val="20"/>
                <w:szCs w:val="20"/>
                <w:color w:val="auto"/>
              </w:rPr>
            </w:pPr>
            <w:r>
              <w:rPr>
                <w:rFonts w:ascii="Arial" w:cs="Arial" w:eastAsia="Arial" w:hAnsi="Arial"/>
                <w:sz w:val="20"/>
                <w:szCs w:val="20"/>
                <w:color w:val="auto"/>
              </w:rPr>
              <w:t>Strategic Goals</w:t>
            </w:r>
            <w:r>
              <w:rPr>
                <w:rFonts w:ascii="Arial" w:cs="Arial" w:eastAsia="Arial" w:hAnsi="Arial"/>
                <w:sz w:val="16"/>
                <w:szCs w:val="16"/>
                <w:color w:val="auto"/>
              </w:rPr>
              <w:t>(3)</w:t>
            </w:r>
          </w:p>
        </w:tc>
        <w:tc>
          <w:tcPr>
            <w:tcW w:w="1920" w:type="dxa"/>
            <w:vAlign w:val="bottom"/>
          </w:tcPr>
          <w:p>
            <w:pPr>
              <w:jc w:val="right"/>
              <w:ind w:right="262"/>
              <w:spacing w:after="0"/>
              <w:rPr>
                <w:sz w:val="20"/>
                <w:szCs w:val="20"/>
                <w:color w:val="auto"/>
              </w:rPr>
            </w:pPr>
            <w:r>
              <w:rPr>
                <w:rFonts w:ascii="Arial" w:cs="Arial" w:eastAsia="Arial" w:hAnsi="Arial"/>
                <w:sz w:val="20"/>
                <w:szCs w:val="20"/>
                <w:color w:val="auto"/>
              </w:rPr>
              <w:t>25%</w:t>
            </w:r>
          </w:p>
        </w:tc>
        <w:tc>
          <w:tcPr>
            <w:tcW w:w="1680" w:type="dxa"/>
            <w:vAlign w:val="bottom"/>
          </w:tcPr>
          <w:p>
            <w:pPr>
              <w:jc w:val="right"/>
              <w:ind w:right="282"/>
              <w:spacing w:after="0"/>
              <w:rPr>
                <w:sz w:val="20"/>
                <w:szCs w:val="20"/>
                <w:color w:val="auto"/>
              </w:rPr>
            </w:pPr>
            <w:r>
              <w:rPr>
                <w:rFonts w:ascii="Arial" w:cs="Arial" w:eastAsia="Arial" w:hAnsi="Arial"/>
                <w:sz w:val="20"/>
                <w:szCs w:val="20"/>
                <w:color w:val="auto"/>
              </w:rPr>
              <w:t>0 pts.</w:t>
            </w:r>
          </w:p>
        </w:tc>
        <w:tc>
          <w:tcPr>
            <w:tcW w:w="1320" w:type="dxa"/>
            <w:vAlign w:val="bottom"/>
          </w:tcPr>
          <w:p>
            <w:pPr>
              <w:jc w:val="right"/>
              <w:ind w:right="262"/>
              <w:spacing w:after="0"/>
              <w:rPr>
                <w:sz w:val="20"/>
                <w:szCs w:val="20"/>
                <w:color w:val="auto"/>
              </w:rPr>
            </w:pPr>
            <w:r>
              <w:rPr>
                <w:rFonts w:ascii="Arial" w:cs="Arial" w:eastAsia="Arial" w:hAnsi="Arial"/>
                <w:sz w:val="20"/>
                <w:szCs w:val="20"/>
                <w:color w:val="auto"/>
              </w:rPr>
              <w:t>25 pts.</w:t>
            </w:r>
          </w:p>
        </w:tc>
        <w:tc>
          <w:tcPr>
            <w:tcW w:w="1520" w:type="dxa"/>
            <w:vAlign w:val="bottom"/>
          </w:tcPr>
          <w:p>
            <w:pPr>
              <w:jc w:val="right"/>
              <w:ind w:right="182"/>
              <w:spacing w:after="0"/>
              <w:rPr>
                <w:sz w:val="20"/>
                <w:szCs w:val="20"/>
                <w:color w:val="auto"/>
              </w:rPr>
            </w:pPr>
            <w:r>
              <w:rPr>
                <w:rFonts w:ascii="Arial" w:cs="Arial" w:eastAsia="Arial" w:hAnsi="Arial"/>
                <w:sz w:val="20"/>
                <w:szCs w:val="20"/>
                <w:color w:val="auto"/>
              </w:rPr>
              <w:t>50 pts.</w:t>
            </w:r>
          </w:p>
        </w:tc>
        <w:tc>
          <w:tcPr>
            <w:tcW w:w="1520" w:type="dxa"/>
            <w:vAlign w:val="bottom"/>
          </w:tcPr>
          <w:p>
            <w:pPr>
              <w:jc w:val="right"/>
              <w:spacing w:after="0"/>
              <w:rPr>
                <w:sz w:val="20"/>
                <w:szCs w:val="20"/>
                <w:color w:val="auto"/>
              </w:rPr>
            </w:pPr>
            <w:r>
              <w:rPr>
                <w:rFonts w:ascii="Arial" w:cs="Arial" w:eastAsia="Arial" w:hAnsi="Arial"/>
                <w:sz w:val="20"/>
                <w:szCs w:val="20"/>
                <w:color w:val="auto"/>
              </w:rPr>
              <w:t>25-38 pts.</w:t>
            </w:r>
          </w:p>
        </w:tc>
      </w:tr>
      <w:tr>
        <w:trPr>
          <w:trHeight w:val="62"/>
        </w:trPr>
        <w:tc>
          <w:tcPr>
            <w:tcW w:w="29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gridSpan w:val="2"/>
          </w:tcPr>
          <w:p>
            <w:pPr>
              <w:spacing w:after="0"/>
              <w:rPr>
                <w:sz w:val="5"/>
                <w:szCs w:val="5"/>
                <w:color w:val="auto"/>
              </w:rPr>
            </w:pPr>
          </w:p>
        </w:tc>
      </w:tr>
      <w:tr>
        <w:trPr>
          <w:trHeight w:val="292"/>
        </w:trPr>
        <w:tc>
          <w:tcPr>
            <w:tcW w:w="2960" w:type="dxa"/>
            <w:vAlign w:val="bottom"/>
          </w:tcPr>
          <w:p>
            <w:pPr>
              <w:ind w:left="100"/>
              <w:spacing w:after="0"/>
              <w:rPr>
                <w:sz w:val="20"/>
                <w:szCs w:val="20"/>
                <w:color w:val="auto"/>
              </w:rPr>
            </w:pPr>
            <w:r>
              <w:rPr>
                <w:rFonts w:ascii="Arial" w:cs="Arial" w:eastAsia="Arial" w:hAnsi="Arial"/>
                <w:sz w:val="20"/>
                <w:szCs w:val="20"/>
                <w:b w:val="1"/>
                <w:bCs w:val="1"/>
                <w:color w:val="0033A0"/>
              </w:rPr>
              <w:t>Performance Payout</w:t>
            </w: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Arial" w:cs="Arial" w:eastAsia="Arial" w:hAnsi="Arial"/>
                <w:sz w:val="20"/>
                <w:szCs w:val="20"/>
                <w:b w:val="1"/>
                <w:bCs w:val="1"/>
                <w:color w:val="0033A0"/>
              </w:rPr>
              <w:t>57%–70%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line="260" w:lineRule="auto"/>
        <w:tabs>
          <w:tab w:leader="none" w:pos="60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Measure adjusted for incentive purposes and excludes the impact of Cruise. Final performance also reflects a downward adjustment approved by the Compensation Committee.</w:t>
      </w:r>
    </w:p>
    <w:p>
      <w:pPr>
        <w:spacing w:after="0" w:line="32" w:lineRule="exact"/>
        <w:rPr>
          <w:rFonts w:ascii="Arial" w:cs="Arial" w:eastAsia="Arial" w:hAnsi="Arial"/>
          <w:sz w:val="18"/>
          <w:szCs w:val="18"/>
          <w:i w:val="1"/>
          <w:iCs w:val="1"/>
          <w:color w:val="auto"/>
        </w:rPr>
      </w:pPr>
    </w:p>
    <w:p>
      <w:pPr>
        <w:ind w:left="600" w:hanging="433"/>
        <w:spacing w:after="0" w:line="260" w:lineRule="auto"/>
        <w:tabs>
          <w:tab w:leader="none" w:pos="60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Measure adjusted for incentive purposes and excludes payments related to certain recall-related expenses attributable to events occurring in 2014. For a description of how Adjusted AFCF is calculated, see Appendix A of this Proxy Statement.</w:t>
      </w:r>
    </w:p>
    <w:p>
      <w:pPr>
        <w:spacing w:after="0" w:line="32" w:lineRule="exact"/>
        <w:rPr>
          <w:rFonts w:ascii="Arial" w:cs="Arial" w:eastAsia="Arial" w:hAnsi="Arial"/>
          <w:sz w:val="18"/>
          <w:szCs w:val="18"/>
          <w:i w:val="1"/>
          <w:iCs w:val="1"/>
          <w:color w:val="auto"/>
        </w:rPr>
      </w:pPr>
    </w:p>
    <w:p>
      <w:pPr>
        <w:ind w:left="600" w:hanging="433"/>
        <w:spacing w:after="0"/>
        <w:tabs>
          <w:tab w:leader="none" w:pos="60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results to strategic goals are discussed beginning on page 52 of this Proxy Statement.</w:t>
      </w:r>
    </w:p>
    <w:p>
      <w:pPr>
        <w:spacing w:after="0" w:line="143"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The Company responded to the challenges faced in 2019 as a result of the work stoppage during the United Auto Workers collective bargaining negotiations. Despite the work stoppage, the Company delivered positive EBIT-adjusted and Adjusted AFCF results. The Company continues to maintain a disciplined capital approach and expects to realize cost savings from our ongoing transformation, which remains on track.</w:t>
      </w:r>
    </w:p>
    <w:p>
      <w:pPr>
        <w:spacing w:after="0" w:line="321" w:lineRule="exact"/>
        <w:rPr>
          <w:sz w:val="20"/>
          <w:szCs w:val="20"/>
          <w:color w:val="auto"/>
        </w:rPr>
      </w:pPr>
    </w:p>
    <w:p>
      <w:pPr>
        <w:ind w:left="700" w:hanging="533"/>
        <w:spacing w:after="0"/>
        <w:tabs>
          <w:tab w:leader="none" w:pos="700" w:val="left"/>
        </w:tabs>
        <w:numPr>
          <w:ilvl w:val="0"/>
          <w:numId w:val="69"/>
        </w:numPr>
        <w:rPr>
          <w:rFonts w:ascii="Arial" w:cs="Arial" w:eastAsia="Arial" w:hAnsi="Arial"/>
          <w:sz w:val="25"/>
          <w:szCs w:val="25"/>
          <w:color w:val="0033A0"/>
        </w:rPr>
      </w:pPr>
      <w:r>
        <w:rPr>
          <w:rFonts w:ascii="Arial" w:cs="Arial" w:eastAsia="Arial" w:hAnsi="Arial"/>
          <w:sz w:val="25"/>
          <w:szCs w:val="25"/>
          <w:color w:val="auto"/>
        </w:rPr>
        <w:t>2017–2019 LTIP Results</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2017–2019 PSUs vested on February 14, 2020, based on Company performance for the three-year period beginning January 1, 2017, against pre-established performance targets for Relative ROIC-adjusted and Relative TSR. Final LTIP performance approved by the Compensation Committee is displayed below.</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2860" w:type="dxa"/>
            <w:vAlign w:val="bottom"/>
            <w:tcBorders>
              <w:top w:val="single" w:sz="8" w:color="00A1DF"/>
            </w:tcBorders>
          </w:tcPr>
          <w:p>
            <w:pPr>
              <w:spacing w:after="0"/>
              <w:rPr>
                <w:sz w:val="23"/>
                <w:szCs w:val="23"/>
                <w:color w:val="auto"/>
              </w:rPr>
            </w:pPr>
          </w:p>
        </w:tc>
        <w:tc>
          <w:tcPr>
            <w:tcW w:w="1600" w:type="dxa"/>
            <w:vAlign w:val="bottom"/>
            <w:tcBorders>
              <w:top w:val="single" w:sz="8" w:color="00A1DF"/>
            </w:tcBorders>
          </w:tcPr>
          <w:p>
            <w:pPr>
              <w:spacing w:after="0"/>
              <w:rPr>
                <w:sz w:val="23"/>
                <w:szCs w:val="23"/>
                <w:color w:val="auto"/>
              </w:rPr>
            </w:pPr>
          </w:p>
        </w:tc>
        <w:tc>
          <w:tcPr>
            <w:tcW w:w="1820" w:type="dxa"/>
            <w:vAlign w:val="bottom"/>
            <w:tcBorders>
              <w:top w:val="single" w:sz="8" w:color="00A1DF"/>
            </w:tcBorders>
          </w:tcPr>
          <w:p>
            <w:pPr>
              <w:spacing w:after="0"/>
              <w:rPr>
                <w:sz w:val="23"/>
                <w:szCs w:val="23"/>
                <w:color w:val="auto"/>
              </w:rPr>
            </w:pPr>
          </w:p>
        </w:tc>
        <w:tc>
          <w:tcPr>
            <w:tcW w:w="1440" w:type="dxa"/>
            <w:vAlign w:val="bottom"/>
            <w:tcBorders>
              <w:top w:val="single" w:sz="8" w:color="00A1DF"/>
            </w:tcBorders>
          </w:tcPr>
          <w:p>
            <w:pPr>
              <w:jc w:val="right"/>
              <w:ind w:right="162"/>
              <w:spacing w:after="0"/>
              <w:rPr>
                <w:sz w:val="20"/>
                <w:szCs w:val="20"/>
                <w:color w:val="auto"/>
              </w:rPr>
            </w:pPr>
            <w:r>
              <w:rPr>
                <w:rFonts w:ascii="Arial" w:cs="Arial" w:eastAsia="Arial" w:hAnsi="Arial"/>
                <w:sz w:val="20"/>
                <w:szCs w:val="20"/>
                <w:b w:val="1"/>
                <w:bCs w:val="1"/>
                <w:color w:val="00A1DF"/>
              </w:rPr>
              <w:t>Percentile</w:t>
            </w:r>
          </w:p>
        </w:tc>
        <w:tc>
          <w:tcPr>
            <w:tcW w:w="1220" w:type="dxa"/>
            <w:vAlign w:val="bottom"/>
            <w:tcBorders>
              <w:top w:val="single" w:sz="8" w:color="00A1DF"/>
            </w:tcBorders>
          </w:tcPr>
          <w:p>
            <w:pPr>
              <w:spacing w:after="0"/>
              <w:rPr>
                <w:sz w:val="23"/>
                <w:szCs w:val="23"/>
                <w:color w:val="auto"/>
              </w:rPr>
            </w:pPr>
          </w:p>
        </w:tc>
        <w:tc>
          <w:tcPr>
            <w:tcW w:w="1980" w:type="dxa"/>
            <w:vAlign w:val="bottom"/>
            <w:tcBorders>
              <w:top w:val="single" w:sz="8" w:color="00A1DF"/>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8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820" w:type="dxa"/>
            <w:vAlign w:val="bottom"/>
            <w:tcBorders>
              <w:bottom w:val="single" w:sz="8" w:color="00A1DF"/>
            </w:tcBorders>
          </w:tcPr>
          <w:p>
            <w:pPr>
              <w:spacing w:after="0"/>
              <w:rPr>
                <w:sz w:val="4"/>
                <w:szCs w:val="4"/>
                <w:color w:val="auto"/>
              </w:rPr>
            </w:pPr>
          </w:p>
        </w:tc>
        <w:tc>
          <w:tcPr>
            <w:tcW w:w="1440" w:type="dxa"/>
            <w:vAlign w:val="bottom"/>
            <w:tcBorders>
              <w:bottom w:val="single" w:sz="8" w:color="00A1DF"/>
            </w:tcBorders>
          </w:tcPr>
          <w:p>
            <w:pPr>
              <w:spacing w:after="0"/>
              <w:rPr>
                <w:sz w:val="4"/>
                <w:szCs w:val="4"/>
                <w:color w:val="auto"/>
              </w:rPr>
            </w:pPr>
          </w:p>
        </w:tc>
        <w:tc>
          <w:tcPr>
            <w:tcW w:w="1220" w:type="dxa"/>
            <w:vAlign w:val="bottom"/>
            <w:tcBorders>
              <w:bottom w:val="single" w:sz="8" w:color="00A1DF"/>
            </w:tcBorders>
          </w:tcPr>
          <w:p>
            <w:pPr>
              <w:spacing w:after="0"/>
              <w:rPr>
                <w:sz w:val="4"/>
                <w:szCs w:val="4"/>
                <w:color w:val="auto"/>
              </w:rPr>
            </w:pPr>
          </w:p>
        </w:tc>
        <w:tc>
          <w:tcPr>
            <w:tcW w:w="1980" w:type="dxa"/>
            <w:vAlign w:val="bottom"/>
            <w:vMerge w:val="restart"/>
          </w:tcPr>
          <w:p>
            <w:pPr>
              <w:jc w:val="right"/>
              <w:spacing w:after="0"/>
              <w:rPr>
                <w:sz w:val="20"/>
                <w:szCs w:val="20"/>
                <w:color w:val="auto"/>
              </w:rPr>
            </w:pPr>
            <w:r>
              <w:rPr>
                <w:rFonts w:ascii="Arial" w:cs="Arial" w:eastAsia="Arial" w:hAnsi="Arial"/>
                <w:sz w:val="20"/>
                <w:szCs w:val="20"/>
                <w:b w:val="1"/>
                <w:bCs w:val="1"/>
                <w:color w:val="00A1DF"/>
              </w:rPr>
              <w:t>Performance</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860" w:type="dxa"/>
            <w:vAlign w:val="bottom"/>
          </w:tcPr>
          <w:p>
            <w:pPr>
              <w:spacing w:after="0"/>
              <w:rPr>
                <w:sz w:val="20"/>
                <w:szCs w:val="20"/>
                <w:color w:val="auto"/>
              </w:rPr>
            </w:pPr>
            <w:r>
              <w:rPr>
                <w:rFonts w:ascii="Arial" w:cs="Arial" w:eastAsia="Arial" w:hAnsi="Arial"/>
                <w:sz w:val="20"/>
                <w:szCs w:val="20"/>
                <w:b w:val="1"/>
                <w:bCs w:val="1"/>
                <w:color w:val="00A1DF"/>
              </w:rPr>
              <w:t>LTIP Measure</w:t>
            </w:r>
          </w:p>
        </w:tc>
        <w:tc>
          <w:tcPr>
            <w:tcW w:w="1600" w:type="dxa"/>
            <w:vAlign w:val="bottom"/>
          </w:tcPr>
          <w:p>
            <w:pPr>
              <w:jc w:val="right"/>
              <w:ind w:right="142"/>
              <w:spacing w:after="0"/>
              <w:rPr>
                <w:sz w:val="20"/>
                <w:szCs w:val="20"/>
                <w:color w:val="auto"/>
              </w:rPr>
            </w:pPr>
            <w:r>
              <w:rPr>
                <w:rFonts w:ascii="Arial" w:cs="Arial" w:eastAsia="Arial" w:hAnsi="Arial"/>
                <w:sz w:val="20"/>
                <w:szCs w:val="20"/>
                <w:b w:val="1"/>
                <w:bCs w:val="1"/>
                <w:color w:val="00A1DF"/>
              </w:rPr>
              <w:t>Weight</w:t>
            </w:r>
          </w:p>
        </w:tc>
        <w:tc>
          <w:tcPr>
            <w:tcW w:w="1820" w:type="dxa"/>
            <w:vAlign w:val="bottom"/>
          </w:tcPr>
          <w:p>
            <w:pPr>
              <w:jc w:val="right"/>
              <w:ind w:right="142"/>
              <w:spacing w:after="0"/>
              <w:rPr>
                <w:sz w:val="20"/>
                <w:szCs w:val="20"/>
                <w:color w:val="auto"/>
              </w:rPr>
            </w:pPr>
            <w:r>
              <w:rPr>
                <w:rFonts w:ascii="Arial" w:cs="Arial" w:eastAsia="Arial" w:hAnsi="Arial"/>
                <w:sz w:val="20"/>
                <w:szCs w:val="20"/>
                <w:b w:val="1"/>
                <w:bCs w:val="1"/>
                <w:color w:val="00A1DF"/>
              </w:rPr>
              <w:t>Threshold</w:t>
            </w:r>
          </w:p>
        </w:tc>
        <w:tc>
          <w:tcPr>
            <w:tcW w:w="1440" w:type="dxa"/>
            <w:vAlign w:val="bottom"/>
          </w:tcPr>
          <w:p>
            <w:pPr>
              <w:jc w:val="right"/>
              <w:ind w:right="322"/>
              <w:spacing w:after="0"/>
              <w:rPr>
                <w:sz w:val="20"/>
                <w:szCs w:val="20"/>
                <w:color w:val="auto"/>
              </w:rPr>
            </w:pPr>
            <w:r>
              <w:rPr>
                <w:rFonts w:ascii="Arial" w:cs="Arial" w:eastAsia="Arial" w:hAnsi="Arial"/>
                <w:sz w:val="20"/>
                <w:szCs w:val="20"/>
                <w:b w:val="1"/>
                <w:bCs w:val="1"/>
                <w:color w:val="00A1DF"/>
              </w:rPr>
              <w:t>Target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00A1DF"/>
              </w:rPr>
              <w:t>Maximum</w:t>
            </w:r>
          </w:p>
        </w:tc>
        <w:tc>
          <w:tcPr>
            <w:tcW w:w="1980" w:type="dxa"/>
            <w:vAlign w:val="bottom"/>
          </w:tcPr>
          <w:p>
            <w:pPr>
              <w:jc w:val="right"/>
              <w:spacing w:after="0"/>
              <w:rPr>
                <w:sz w:val="20"/>
                <w:szCs w:val="20"/>
                <w:color w:val="auto"/>
              </w:rPr>
            </w:pPr>
            <w:r>
              <w:rPr>
                <w:rFonts w:ascii="Arial" w:cs="Arial" w:eastAsia="Arial" w:hAnsi="Arial"/>
                <w:sz w:val="20"/>
                <w:szCs w:val="20"/>
                <w:b w:val="1"/>
                <w:bCs w:val="1"/>
                <w:color w:val="00A1DF"/>
              </w:rPr>
              <w:t>Results</w:t>
            </w:r>
          </w:p>
        </w:tc>
        <w:tc>
          <w:tcPr>
            <w:tcW w:w="0" w:type="dxa"/>
            <w:vAlign w:val="bottom"/>
          </w:tcPr>
          <w:p>
            <w:pPr>
              <w:spacing w:after="0"/>
              <w:rPr>
                <w:sz w:val="1"/>
                <w:szCs w:val="1"/>
                <w:color w:val="auto"/>
              </w:rPr>
            </w:pPr>
          </w:p>
        </w:tc>
      </w:tr>
      <w:tr>
        <w:trPr>
          <w:trHeight w:val="62"/>
        </w:trPr>
        <w:tc>
          <w:tcPr>
            <w:tcW w:w="2860" w:type="dxa"/>
            <w:vAlign w:val="bottom"/>
            <w:tcBorders>
              <w:bottom w:val="single" w:sz="8" w:color="00A1DF"/>
            </w:tcBorders>
          </w:tcPr>
          <w:p>
            <w:pPr>
              <w:spacing w:after="0"/>
              <w:rPr>
                <w:sz w:val="5"/>
                <w:szCs w:val="5"/>
                <w:color w:val="auto"/>
              </w:rPr>
            </w:pPr>
          </w:p>
        </w:tc>
        <w:tc>
          <w:tcPr>
            <w:tcW w:w="1600" w:type="dxa"/>
            <w:vAlign w:val="bottom"/>
            <w:tcBorders>
              <w:bottom w:val="single" w:sz="8" w:color="00A1DF"/>
            </w:tcBorders>
          </w:tcPr>
          <w:p>
            <w:pPr>
              <w:spacing w:after="0"/>
              <w:rPr>
                <w:sz w:val="5"/>
                <w:szCs w:val="5"/>
                <w:color w:val="auto"/>
              </w:rPr>
            </w:pPr>
          </w:p>
        </w:tc>
        <w:tc>
          <w:tcPr>
            <w:tcW w:w="1820" w:type="dxa"/>
            <w:vAlign w:val="bottom"/>
            <w:tcBorders>
              <w:bottom w:val="single" w:sz="8" w:color="00A1DF"/>
            </w:tcBorders>
          </w:tcPr>
          <w:p>
            <w:pPr>
              <w:spacing w:after="0"/>
              <w:rPr>
                <w:sz w:val="5"/>
                <w:szCs w:val="5"/>
                <w:color w:val="auto"/>
              </w:rPr>
            </w:pPr>
          </w:p>
        </w:tc>
        <w:tc>
          <w:tcPr>
            <w:tcW w:w="1440" w:type="dxa"/>
            <w:vAlign w:val="bottom"/>
            <w:tcBorders>
              <w:bottom w:val="single" w:sz="8" w:color="00A1DF"/>
            </w:tcBorders>
          </w:tcPr>
          <w:p>
            <w:pPr>
              <w:spacing w:after="0"/>
              <w:rPr>
                <w:sz w:val="5"/>
                <w:szCs w:val="5"/>
                <w:color w:val="auto"/>
              </w:rPr>
            </w:pPr>
          </w:p>
        </w:tc>
        <w:tc>
          <w:tcPr>
            <w:tcW w:w="1220" w:type="dxa"/>
            <w:vAlign w:val="bottom"/>
            <w:tcBorders>
              <w:bottom w:val="single" w:sz="8" w:color="00A1DF"/>
            </w:tcBorders>
          </w:tcPr>
          <w:p>
            <w:pPr>
              <w:spacing w:after="0"/>
              <w:rPr>
                <w:sz w:val="5"/>
                <w:szCs w:val="5"/>
                <w:color w:val="auto"/>
              </w:rPr>
            </w:pPr>
          </w:p>
        </w:tc>
        <w:tc>
          <w:tcPr>
            <w:tcW w:w="198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860" w:type="dxa"/>
            <w:vAlign w:val="bottom"/>
          </w:tcPr>
          <w:p>
            <w:pPr>
              <w:ind w:left="100"/>
              <w:spacing w:after="0"/>
              <w:rPr>
                <w:sz w:val="20"/>
                <w:szCs w:val="20"/>
                <w:color w:val="auto"/>
              </w:rPr>
            </w:pPr>
            <w:r>
              <w:rPr>
                <w:rFonts w:ascii="Arial" w:cs="Arial" w:eastAsia="Arial" w:hAnsi="Arial"/>
                <w:sz w:val="20"/>
                <w:szCs w:val="20"/>
                <w:color w:val="auto"/>
              </w:rPr>
              <w:t>Relative ROIC-adjusted</w:t>
            </w:r>
          </w:p>
        </w:tc>
        <w:tc>
          <w:tcPr>
            <w:tcW w:w="1600" w:type="dxa"/>
            <w:vAlign w:val="bottom"/>
          </w:tcPr>
          <w:p>
            <w:pPr>
              <w:jc w:val="right"/>
              <w:ind w:right="142"/>
              <w:spacing w:after="0"/>
              <w:rPr>
                <w:sz w:val="20"/>
                <w:szCs w:val="20"/>
                <w:color w:val="auto"/>
              </w:rPr>
            </w:pPr>
            <w:r>
              <w:rPr>
                <w:rFonts w:ascii="Arial" w:cs="Arial" w:eastAsia="Arial" w:hAnsi="Arial"/>
                <w:sz w:val="20"/>
                <w:szCs w:val="20"/>
                <w:color w:val="auto"/>
              </w:rPr>
              <w:t>67%</w:t>
            </w:r>
          </w:p>
        </w:tc>
        <w:tc>
          <w:tcPr>
            <w:tcW w:w="1820" w:type="dxa"/>
            <w:vAlign w:val="bottom"/>
          </w:tcPr>
          <w:p>
            <w:pPr>
              <w:jc w:val="right"/>
              <w:ind w:right="142"/>
              <w:spacing w:after="0"/>
              <w:rPr>
                <w:sz w:val="20"/>
                <w:szCs w:val="20"/>
                <w:color w:val="auto"/>
              </w:rPr>
            </w:pPr>
            <w:r>
              <w:rPr>
                <w:rFonts w:ascii="Arial" w:cs="Arial" w:eastAsia="Arial" w:hAnsi="Arial"/>
                <w:sz w:val="20"/>
                <w:szCs w:val="20"/>
                <w:color w:val="auto"/>
              </w:rPr>
              <w:t>35</w:t>
            </w:r>
            <w:r>
              <w:rPr>
                <w:rFonts w:ascii="Arial" w:cs="Arial" w:eastAsia="Arial" w:hAnsi="Arial"/>
                <w:sz w:val="16"/>
                <w:szCs w:val="16"/>
                <w:color w:val="auto"/>
              </w:rPr>
              <w:t>th</w:t>
            </w:r>
          </w:p>
        </w:tc>
        <w:tc>
          <w:tcPr>
            <w:tcW w:w="1440" w:type="dxa"/>
            <w:vAlign w:val="bottom"/>
          </w:tcPr>
          <w:p>
            <w:pPr>
              <w:jc w:val="right"/>
              <w:ind w:right="322"/>
              <w:spacing w:after="0"/>
              <w:rPr>
                <w:sz w:val="20"/>
                <w:szCs w:val="20"/>
                <w:color w:val="auto"/>
              </w:rPr>
            </w:pPr>
            <w:r>
              <w:rPr>
                <w:rFonts w:ascii="Arial" w:cs="Arial" w:eastAsia="Arial" w:hAnsi="Arial"/>
                <w:sz w:val="20"/>
                <w:szCs w:val="20"/>
                <w:color w:val="auto"/>
              </w:rPr>
              <w:t>60</w:t>
            </w:r>
            <w:r>
              <w:rPr>
                <w:rFonts w:ascii="Arial" w:cs="Arial" w:eastAsia="Arial" w:hAnsi="Arial"/>
                <w:sz w:val="16"/>
                <w:szCs w:val="16"/>
                <w:color w:val="auto"/>
              </w:rPr>
              <w:t>th</w:t>
            </w:r>
          </w:p>
        </w:tc>
        <w:tc>
          <w:tcPr>
            <w:tcW w:w="1220" w:type="dxa"/>
            <w:vAlign w:val="bottom"/>
          </w:tcPr>
          <w:p>
            <w:pPr>
              <w:jc w:val="right"/>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th</w:t>
            </w:r>
          </w:p>
        </w:tc>
        <w:tc>
          <w:tcPr>
            <w:tcW w:w="1980" w:type="dxa"/>
            <w:vAlign w:val="bottom"/>
          </w:tcPr>
          <w:p>
            <w:pPr>
              <w:jc w:val="right"/>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th</w:t>
            </w:r>
            <w:r>
              <w:rPr>
                <w:rFonts w:ascii="Arial" w:cs="Arial" w:eastAsia="Arial" w:hAnsi="Arial"/>
                <w:sz w:val="20"/>
                <w:szCs w:val="20"/>
                <w:color w:val="auto"/>
              </w:rPr>
              <w:t xml:space="preserve"> Percentile</w:t>
            </w:r>
          </w:p>
        </w:tc>
        <w:tc>
          <w:tcPr>
            <w:tcW w:w="0" w:type="dxa"/>
            <w:vAlign w:val="bottom"/>
          </w:tcPr>
          <w:p>
            <w:pPr>
              <w:spacing w:after="0"/>
              <w:rPr>
                <w:sz w:val="1"/>
                <w:szCs w:val="1"/>
                <w:color w:val="auto"/>
              </w:rPr>
            </w:pPr>
          </w:p>
        </w:tc>
      </w:tr>
      <w:tr>
        <w:trPr>
          <w:trHeight w:val="62"/>
        </w:trPr>
        <w:tc>
          <w:tcPr>
            <w:tcW w:w="28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860" w:type="dxa"/>
            <w:vAlign w:val="bottom"/>
          </w:tcPr>
          <w:p>
            <w:pPr>
              <w:ind w:left="100"/>
              <w:spacing w:after="0"/>
              <w:rPr>
                <w:sz w:val="20"/>
                <w:szCs w:val="20"/>
                <w:color w:val="auto"/>
              </w:rPr>
            </w:pPr>
            <w:r>
              <w:rPr>
                <w:rFonts w:ascii="Arial" w:cs="Arial" w:eastAsia="Arial" w:hAnsi="Arial"/>
                <w:sz w:val="20"/>
                <w:szCs w:val="20"/>
                <w:color w:val="auto"/>
              </w:rPr>
              <w:t>Relative TSR</w:t>
            </w:r>
          </w:p>
        </w:tc>
        <w:tc>
          <w:tcPr>
            <w:tcW w:w="1600" w:type="dxa"/>
            <w:vAlign w:val="bottom"/>
          </w:tcPr>
          <w:p>
            <w:pPr>
              <w:jc w:val="right"/>
              <w:ind w:right="142"/>
              <w:spacing w:after="0"/>
              <w:rPr>
                <w:sz w:val="20"/>
                <w:szCs w:val="20"/>
                <w:color w:val="auto"/>
              </w:rPr>
            </w:pPr>
            <w:r>
              <w:rPr>
                <w:rFonts w:ascii="Arial" w:cs="Arial" w:eastAsia="Arial" w:hAnsi="Arial"/>
                <w:sz w:val="20"/>
                <w:szCs w:val="20"/>
                <w:color w:val="auto"/>
              </w:rPr>
              <w:t>33%</w:t>
            </w:r>
          </w:p>
        </w:tc>
        <w:tc>
          <w:tcPr>
            <w:tcW w:w="1820" w:type="dxa"/>
            <w:vAlign w:val="bottom"/>
          </w:tcPr>
          <w:p>
            <w:pPr>
              <w:jc w:val="right"/>
              <w:ind w:right="142"/>
              <w:spacing w:after="0"/>
              <w:rPr>
                <w:sz w:val="20"/>
                <w:szCs w:val="20"/>
                <w:color w:val="auto"/>
              </w:rPr>
            </w:pPr>
            <w:r>
              <w:rPr>
                <w:rFonts w:ascii="Arial" w:cs="Arial" w:eastAsia="Arial" w:hAnsi="Arial"/>
                <w:sz w:val="20"/>
                <w:szCs w:val="20"/>
                <w:color w:val="auto"/>
              </w:rPr>
              <w:t>25</w:t>
            </w:r>
            <w:r>
              <w:rPr>
                <w:rFonts w:ascii="Arial" w:cs="Arial" w:eastAsia="Arial" w:hAnsi="Arial"/>
                <w:sz w:val="16"/>
                <w:szCs w:val="16"/>
                <w:color w:val="auto"/>
              </w:rPr>
              <w:t>th</w:t>
            </w:r>
          </w:p>
        </w:tc>
        <w:tc>
          <w:tcPr>
            <w:tcW w:w="1440" w:type="dxa"/>
            <w:vAlign w:val="bottom"/>
          </w:tcPr>
          <w:p>
            <w:pPr>
              <w:jc w:val="right"/>
              <w:ind w:right="322"/>
              <w:spacing w:after="0"/>
              <w:rPr>
                <w:sz w:val="20"/>
                <w:szCs w:val="20"/>
                <w:color w:val="auto"/>
              </w:rPr>
            </w:pPr>
            <w:r>
              <w:rPr>
                <w:rFonts w:ascii="Arial" w:cs="Arial" w:eastAsia="Arial" w:hAnsi="Arial"/>
                <w:sz w:val="20"/>
                <w:szCs w:val="20"/>
                <w:color w:val="auto"/>
              </w:rPr>
              <w:t>50</w:t>
            </w:r>
            <w:r>
              <w:rPr>
                <w:rFonts w:ascii="Arial" w:cs="Arial" w:eastAsia="Arial" w:hAnsi="Arial"/>
                <w:sz w:val="16"/>
                <w:szCs w:val="16"/>
                <w:color w:val="auto"/>
              </w:rPr>
              <w:t>th</w:t>
            </w:r>
          </w:p>
        </w:tc>
        <w:tc>
          <w:tcPr>
            <w:tcW w:w="1220" w:type="dxa"/>
            <w:vAlign w:val="bottom"/>
          </w:tcPr>
          <w:p>
            <w:pPr>
              <w:jc w:val="right"/>
              <w:spacing w:after="0"/>
              <w:rPr>
                <w:sz w:val="20"/>
                <w:szCs w:val="20"/>
                <w:color w:val="auto"/>
              </w:rPr>
            </w:pPr>
            <w:r>
              <w:rPr>
                <w:rFonts w:ascii="Arial" w:cs="Arial" w:eastAsia="Arial" w:hAnsi="Arial"/>
                <w:sz w:val="20"/>
                <w:szCs w:val="20"/>
                <w:color w:val="auto"/>
              </w:rPr>
              <w:t>75</w:t>
            </w:r>
            <w:r>
              <w:rPr>
                <w:rFonts w:ascii="Arial" w:cs="Arial" w:eastAsia="Arial" w:hAnsi="Arial"/>
                <w:sz w:val="16"/>
                <w:szCs w:val="16"/>
                <w:color w:val="auto"/>
              </w:rPr>
              <w:t>th</w:t>
            </w:r>
          </w:p>
        </w:tc>
        <w:tc>
          <w:tcPr>
            <w:tcW w:w="1980" w:type="dxa"/>
            <w:vAlign w:val="bottom"/>
          </w:tcPr>
          <w:p>
            <w:pPr>
              <w:jc w:val="right"/>
              <w:spacing w:after="0"/>
              <w:rPr>
                <w:sz w:val="20"/>
                <w:szCs w:val="20"/>
                <w:color w:val="auto"/>
              </w:rPr>
            </w:pPr>
            <w:r>
              <w:rPr>
                <w:rFonts w:ascii="Arial" w:cs="Arial" w:eastAsia="Arial" w:hAnsi="Arial"/>
                <w:sz w:val="20"/>
                <w:szCs w:val="20"/>
                <w:color w:val="auto"/>
              </w:rPr>
              <w:t>57</w:t>
            </w:r>
            <w:r>
              <w:rPr>
                <w:rFonts w:ascii="Arial" w:cs="Arial" w:eastAsia="Arial" w:hAnsi="Arial"/>
                <w:sz w:val="16"/>
                <w:szCs w:val="16"/>
                <w:color w:val="auto"/>
              </w:rPr>
              <w:t>th</w:t>
            </w:r>
            <w:r>
              <w:rPr>
                <w:rFonts w:ascii="Arial" w:cs="Arial" w:eastAsia="Arial" w:hAnsi="Arial"/>
                <w:sz w:val="20"/>
                <w:szCs w:val="20"/>
                <w:color w:val="auto"/>
              </w:rPr>
              <w:t xml:space="preserve"> Percentile</w:t>
            </w:r>
          </w:p>
        </w:tc>
        <w:tc>
          <w:tcPr>
            <w:tcW w:w="0" w:type="dxa"/>
            <w:vAlign w:val="bottom"/>
          </w:tcPr>
          <w:p>
            <w:pPr>
              <w:spacing w:after="0"/>
              <w:rPr>
                <w:sz w:val="1"/>
                <w:szCs w:val="1"/>
                <w:color w:val="auto"/>
              </w:rPr>
            </w:pPr>
          </w:p>
        </w:tc>
      </w:tr>
      <w:tr>
        <w:trPr>
          <w:trHeight w:val="62"/>
        </w:trPr>
        <w:tc>
          <w:tcPr>
            <w:tcW w:w="28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860" w:type="dxa"/>
            <w:vAlign w:val="bottom"/>
          </w:tcPr>
          <w:p>
            <w:pPr>
              <w:ind w:left="100"/>
              <w:spacing w:after="0"/>
              <w:rPr>
                <w:sz w:val="20"/>
                <w:szCs w:val="20"/>
                <w:color w:val="auto"/>
              </w:rPr>
            </w:pPr>
            <w:r>
              <w:rPr>
                <w:rFonts w:ascii="Arial" w:cs="Arial" w:eastAsia="Arial" w:hAnsi="Arial"/>
                <w:sz w:val="20"/>
                <w:szCs w:val="20"/>
                <w:b w:val="1"/>
                <w:bCs w:val="1"/>
                <w:color w:val="0033A0"/>
              </w:rPr>
              <w:t>Performance Payout</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b w:val="1"/>
                <w:bCs w:val="1"/>
                <w:color w:val="0033A0"/>
              </w:rPr>
              <w:t>176% of Target</w:t>
            </w:r>
          </w:p>
        </w:tc>
        <w:tc>
          <w:tcPr>
            <w:tcW w:w="0" w:type="dxa"/>
            <w:vAlign w:val="bottom"/>
          </w:tcPr>
          <w:p>
            <w:pPr>
              <w:spacing w:after="0"/>
              <w:rPr>
                <w:sz w:val="1"/>
                <w:szCs w:val="1"/>
                <w:color w:val="auto"/>
              </w:rPr>
            </w:pPr>
          </w:p>
        </w:tc>
      </w:tr>
      <w:tr>
        <w:trPr>
          <w:trHeight w:val="62"/>
        </w:trPr>
        <w:tc>
          <w:tcPr>
            <w:tcW w:w="2860" w:type="dxa"/>
            <w:vAlign w:val="bottom"/>
            <w:tcBorders>
              <w:bottom w:val="single" w:sz="8" w:color="0033A0"/>
            </w:tcBorders>
          </w:tcPr>
          <w:p>
            <w:pPr>
              <w:spacing w:after="0"/>
              <w:rPr>
                <w:sz w:val="5"/>
                <w:szCs w:val="5"/>
                <w:color w:val="auto"/>
              </w:rPr>
            </w:pPr>
          </w:p>
        </w:tc>
        <w:tc>
          <w:tcPr>
            <w:tcW w:w="1600" w:type="dxa"/>
            <w:vAlign w:val="bottom"/>
            <w:tcBorders>
              <w:bottom w:val="single" w:sz="8" w:color="0033A0"/>
            </w:tcBorders>
          </w:tcPr>
          <w:p>
            <w:pPr>
              <w:spacing w:after="0"/>
              <w:rPr>
                <w:sz w:val="5"/>
                <w:szCs w:val="5"/>
                <w:color w:val="auto"/>
              </w:rPr>
            </w:pPr>
          </w:p>
        </w:tc>
        <w:tc>
          <w:tcPr>
            <w:tcW w:w="1820" w:type="dxa"/>
            <w:vAlign w:val="bottom"/>
            <w:tcBorders>
              <w:bottom w:val="single" w:sz="8" w:color="0033A0"/>
            </w:tcBorders>
          </w:tcPr>
          <w:p>
            <w:pPr>
              <w:spacing w:after="0"/>
              <w:rPr>
                <w:sz w:val="5"/>
                <w:szCs w:val="5"/>
                <w:color w:val="auto"/>
              </w:rPr>
            </w:pPr>
          </w:p>
        </w:tc>
        <w:tc>
          <w:tcPr>
            <w:tcW w:w="1440" w:type="dxa"/>
            <w:vAlign w:val="bottom"/>
            <w:tcBorders>
              <w:bottom w:val="single" w:sz="8" w:color="0033A0"/>
            </w:tcBorders>
          </w:tcPr>
          <w:p>
            <w:pPr>
              <w:spacing w:after="0"/>
              <w:rPr>
                <w:sz w:val="5"/>
                <w:szCs w:val="5"/>
                <w:color w:val="auto"/>
              </w:rPr>
            </w:pPr>
          </w:p>
        </w:tc>
        <w:tc>
          <w:tcPr>
            <w:tcW w:w="1220" w:type="dxa"/>
            <w:vAlign w:val="bottom"/>
            <w:tcBorders>
              <w:bottom w:val="single" w:sz="8" w:color="0033A0"/>
            </w:tcBorders>
          </w:tcPr>
          <w:p>
            <w:pPr>
              <w:spacing w:after="0"/>
              <w:rPr>
                <w:sz w:val="5"/>
                <w:szCs w:val="5"/>
                <w:color w:val="auto"/>
              </w:rPr>
            </w:pPr>
          </w:p>
        </w:tc>
        <w:tc>
          <w:tcPr>
            <w:tcW w:w="1980" w:type="dxa"/>
            <w:vAlign w:val="bottom"/>
            <w:tcBorders>
              <w:bottom w:val="single" w:sz="8" w:color="0033A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Company continues to focus on ROIC and delivering best results among the OEMs. The Company strives to be best in class and drive performance and focus towards TSR. We continue to make the right investments in our future with a focus on the long-term interest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83185</wp:posOffset>
            </wp:positionV>
            <wp:extent cx="6793865" cy="1016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50</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70"/>
        </w:numPr>
        <w:rPr>
          <w:rFonts w:ascii="Arial" w:cs="Arial" w:eastAsia="Arial" w:hAnsi="Arial"/>
          <w:sz w:val="25"/>
          <w:szCs w:val="25"/>
          <w:color w:val="0033A0"/>
        </w:rPr>
      </w:pPr>
      <w:r>
        <w:rPr>
          <w:rFonts w:ascii="Arial" w:cs="Arial" w:eastAsia="Arial" w:hAnsi="Arial"/>
          <w:sz w:val="25"/>
          <w:szCs w:val="25"/>
          <w:color w:val="auto"/>
        </w:rPr>
        <w:t>One-Time 2015–2020 DSV Option Grant</w:t>
      </w:r>
    </w:p>
    <w:p>
      <w:pPr>
        <w:spacing w:after="0" w:line="149"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auto"/>
        </w:rPr>
        <w:t>The DSV option grant was a one-time grant made on July 28, 2015, to senior leaders to secure non-compete and non-solicitation terms and to drive an increased focus on stock price appreciation. The DSV option grant featured 40% time-based vesting, which vested on February 15, 2017, and 60% performance-based vesting that vested upon meeting or exceeding the median TSR relative to the OEM peer group on the date of grant. The final performance-based tranche vested on February 15, 2020. Shown below are the results of all three performance-based tranches.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1640" w:type="dxa"/>
            <w:vAlign w:val="bottom"/>
            <w:tcBorders>
              <w:top w:val="single" w:sz="8" w:color="00A1DF"/>
            </w:tcBorders>
          </w:tcPr>
          <w:p>
            <w:pPr>
              <w:jc w:val="right"/>
              <w:ind w:right="411"/>
              <w:spacing w:after="0"/>
              <w:rPr>
                <w:sz w:val="20"/>
                <w:szCs w:val="20"/>
                <w:color w:val="auto"/>
              </w:rPr>
            </w:pPr>
            <w:r>
              <w:rPr>
                <w:rFonts w:ascii="Arial" w:cs="Arial" w:eastAsia="Arial" w:hAnsi="Arial"/>
                <w:sz w:val="18"/>
                <w:szCs w:val="18"/>
                <w:b w:val="1"/>
                <w:bCs w:val="1"/>
                <w:color w:val="00A1DF"/>
                <w:w w:val="97"/>
              </w:rPr>
              <w:t>DSV Measure</w:t>
            </w:r>
          </w:p>
        </w:tc>
        <w:tc>
          <w:tcPr>
            <w:tcW w:w="3360" w:type="dxa"/>
            <w:vAlign w:val="bottom"/>
            <w:tcBorders>
              <w:top w:val="single" w:sz="8" w:color="00A1DF"/>
            </w:tcBorders>
          </w:tcPr>
          <w:p>
            <w:pPr>
              <w:jc w:val="right"/>
              <w:ind w:right="51"/>
              <w:spacing w:after="0"/>
              <w:rPr>
                <w:sz w:val="20"/>
                <w:szCs w:val="20"/>
                <w:color w:val="auto"/>
              </w:rPr>
            </w:pPr>
            <w:r>
              <w:rPr>
                <w:rFonts w:ascii="Arial" w:cs="Arial" w:eastAsia="Arial" w:hAnsi="Arial"/>
                <w:sz w:val="18"/>
                <w:szCs w:val="18"/>
                <w:b w:val="1"/>
                <w:bCs w:val="1"/>
                <w:color w:val="00A1DF"/>
              </w:rPr>
              <w:t>Performance Period</w:t>
            </w:r>
          </w:p>
        </w:tc>
        <w:tc>
          <w:tcPr>
            <w:tcW w:w="1640" w:type="dxa"/>
            <w:vAlign w:val="bottom"/>
            <w:tcBorders>
              <w:top w:val="single" w:sz="8" w:color="00A1DF"/>
            </w:tcBorders>
          </w:tcPr>
          <w:p>
            <w:pPr>
              <w:jc w:val="right"/>
              <w:spacing w:after="0"/>
              <w:rPr>
                <w:sz w:val="20"/>
                <w:szCs w:val="20"/>
                <w:color w:val="auto"/>
              </w:rPr>
            </w:pPr>
            <w:r>
              <w:rPr>
                <w:rFonts w:ascii="Arial" w:cs="Arial" w:eastAsia="Arial" w:hAnsi="Arial"/>
                <w:sz w:val="18"/>
                <w:szCs w:val="18"/>
                <w:b w:val="1"/>
                <w:bCs w:val="1"/>
                <w:color w:val="00A1DF"/>
              </w:rPr>
              <w:t>Vesting Date</w:t>
            </w:r>
          </w:p>
        </w:tc>
        <w:tc>
          <w:tcPr>
            <w:tcW w:w="760" w:type="dxa"/>
            <w:vAlign w:val="bottom"/>
            <w:tcBorders>
              <w:top w:val="single" w:sz="8" w:color="00A1DF"/>
            </w:tcBorders>
          </w:tcPr>
          <w:p>
            <w:pPr>
              <w:jc w:val="right"/>
              <w:ind w:right="31"/>
              <w:spacing w:after="0"/>
              <w:rPr>
                <w:sz w:val="20"/>
                <w:szCs w:val="20"/>
                <w:color w:val="auto"/>
              </w:rPr>
            </w:pPr>
            <w:r>
              <w:rPr>
                <w:rFonts w:ascii="Arial" w:cs="Arial" w:eastAsia="Arial" w:hAnsi="Arial"/>
                <w:sz w:val="18"/>
                <w:szCs w:val="18"/>
                <w:b w:val="1"/>
                <w:bCs w:val="1"/>
                <w:color w:val="00A1DF"/>
              </w:rPr>
              <w:t>Weight</w:t>
            </w:r>
          </w:p>
        </w:tc>
        <w:tc>
          <w:tcPr>
            <w:tcW w:w="1380" w:type="dxa"/>
            <w:vAlign w:val="bottom"/>
            <w:tcBorders>
              <w:top w:val="single" w:sz="8" w:color="00A1DF"/>
            </w:tcBorders>
          </w:tcPr>
          <w:p>
            <w:pPr>
              <w:jc w:val="right"/>
              <w:ind w:right="11"/>
              <w:spacing w:after="0"/>
              <w:rPr>
                <w:sz w:val="20"/>
                <w:szCs w:val="20"/>
                <w:color w:val="auto"/>
              </w:rPr>
            </w:pPr>
            <w:r>
              <w:rPr>
                <w:rFonts w:ascii="Arial" w:cs="Arial" w:eastAsia="Arial" w:hAnsi="Arial"/>
                <w:sz w:val="18"/>
                <w:szCs w:val="18"/>
                <w:b w:val="1"/>
                <w:bCs w:val="1"/>
                <w:color w:val="00A1DF"/>
              </w:rPr>
              <w:t>Target TSR</w:t>
            </w:r>
          </w:p>
        </w:tc>
        <w:tc>
          <w:tcPr>
            <w:tcW w:w="1360" w:type="dxa"/>
            <w:vAlign w:val="bottom"/>
            <w:tcBorders>
              <w:top w:val="single" w:sz="8" w:color="00A1DF"/>
            </w:tcBorders>
          </w:tcPr>
          <w:p>
            <w:pPr>
              <w:jc w:val="right"/>
              <w:spacing w:after="0"/>
              <w:rPr>
                <w:sz w:val="20"/>
                <w:szCs w:val="20"/>
                <w:color w:val="auto"/>
              </w:rPr>
            </w:pPr>
            <w:r>
              <w:rPr>
                <w:rFonts w:ascii="Arial" w:cs="Arial" w:eastAsia="Arial" w:hAnsi="Arial"/>
                <w:sz w:val="18"/>
                <w:szCs w:val="18"/>
                <w:b w:val="1"/>
                <w:bCs w:val="1"/>
                <w:color w:val="00A1DF"/>
              </w:rPr>
              <w:t>Result</w:t>
            </w:r>
          </w:p>
        </w:tc>
        <w:tc>
          <w:tcPr>
            <w:tcW w:w="780" w:type="dxa"/>
            <w:vAlign w:val="bottom"/>
            <w:tcBorders>
              <w:top w:val="single" w:sz="8" w:color="00A1DF"/>
            </w:tcBorders>
          </w:tcPr>
          <w:p>
            <w:pPr>
              <w:jc w:val="right"/>
              <w:spacing w:after="0"/>
              <w:rPr>
                <w:sz w:val="20"/>
                <w:szCs w:val="20"/>
                <w:color w:val="auto"/>
              </w:rPr>
            </w:pPr>
            <w:r>
              <w:rPr>
                <w:rFonts w:ascii="Arial" w:cs="Arial" w:eastAsia="Arial" w:hAnsi="Arial"/>
                <w:sz w:val="18"/>
                <w:szCs w:val="18"/>
                <w:b w:val="1"/>
                <w:bCs w:val="1"/>
                <w:color w:val="00A1DF"/>
              </w:rPr>
              <w:t>Vesting</w:t>
            </w:r>
          </w:p>
        </w:tc>
      </w:tr>
      <w:tr>
        <w:trPr>
          <w:trHeight w:val="59"/>
        </w:trPr>
        <w:tc>
          <w:tcPr>
            <w:tcW w:w="1640" w:type="dxa"/>
            <w:vAlign w:val="bottom"/>
            <w:tcBorders>
              <w:bottom w:val="single" w:sz="8" w:color="00A1DF"/>
            </w:tcBorders>
          </w:tcPr>
          <w:p>
            <w:pPr>
              <w:spacing w:after="0"/>
              <w:rPr>
                <w:sz w:val="5"/>
                <w:szCs w:val="5"/>
                <w:color w:val="auto"/>
              </w:rPr>
            </w:pPr>
          </w:p>
        </w:tc>
        <w:tc>
          <w:tcPr>
            <w:tcW w:w="3360" w:type="dxa"/>
            <w:vAlign w:val="bottom"/>
            <w:tcBorders>
              <w:bottom w:val="single" w:sz="8" w:color="00A1DF"/>
            </w:tcBorders>
          </w:tcPr>
          <w:p>
            <w:pPr>
              <w:spacing w:after="0"/>
              <w:rPr>
                <w:sz w:val="5"/>
                <w:szCs w:val="5"/>
                <w:color w:val="auto"/>
              </w:rPr>
            </w:pPr>
          </w:p>
        </w:tc>
        <w:tc>
          <w:tcPr>
            <w:tcW w:w="1640" w:type="dxa"/>
            <w:vAlign w:val="bottom"/>
            <w:tcBorders>
              <w:bottom w:val="single" w:sz="8" w:color="00A1DF"/>
            </w:tcBorders>
          </w:tcPr>
          <w:p>
            <w:pPr>
              <w:spacing w:after="0"/>
              <w:rPr>
                <w:sz w:val="5"/>
                <w:szCs w:val="5"/>
                <w:color w:val="auto"/>
              </w:rPr>
            </w:pPr>
          </w:p>
        </w:tc>
        <w:tc>
          <w:tcPr>
            <w:tcW w:w="760" w:type="dxa"/>
            <w:vAlign w:val="bottom"/>
            <w:tcBorders>
              <w:bottom w:val="single" w:sz="8" w:color="00A1DF"/>
            </w:tcBorders>
          </w:tcPr>
          <w:p>
            <w:pPr>
              <w:spacing w:after="0"/>
              <w:rPr>
                <w:sz w:val="5"/>
                <w:szCs w:val="5"/>
                <w:color w:val="auto"/>
              </w:rPr>
            </w:pPr>
          </w:p>
        </w:tc>
        <w:tc>
          <w:tcPr>
            <w:tcW w:w="1380" w:type="dxa"/>
            <w:vAlign w:val="bottom"/>
            <w:tcBorders>
              <w:bottom w:val="single" w:sz="8" w:color="00A1DF"/>
            </w:tcBorders>
          </w:tcPr>
          <w:p>
            <w:pPr>
              <w:spacing w:after="0"/>
              <w:rPr>
                <w:sz w:val="5"/>
                <w:szCs w:val="5"/>
                <w:color w:val="auto"/>
              </w:rPr>
            </w:pPr>
          </w:p>
        </w:tc>
        <w:tc>
          <w:tcPr>
            <w:tcW w:w="1360" w:type="dxa"/>
            <w:vAlign w:val="bottom"/>
            <w:tcBorders>
              <w:bottom w:val="single" w:sz="8" w:color="00A1DF"/>
            </w:tcBorders>
          </w:tcPr>
          <w:p>
            <w:pPr>
              <w:spacing w:after="0"/>
              <w:rPr>
                <w:sz w:val="5"/>
                <w:szCs w:val="5"/>
                <w:color w:val="auto"/>
              </w:rPr>
            </w:pPr>
          </w:p>
        </w:tc>
        <w:tc>
          <w:tcPr>
            <w:tcW w:w="780" w:type="dxa"/>
            <w:vAlign w:val="bottom"/>
            <w:tcBorders>
              <w:bottom w:val="single" w:sz="8" w:color="00A1DF"/>
            </w:tcBorders>
          </w:tcPr>
          <w:p>
            <w:pPr>
              <w:spacing w:after="0"/>
              <w:rPr>
                <w:sz w:val="5"/>
                <w:szCs w:val="5"/>
                <w:color w:val="auto"/>
              </w:rPr>
            </w:pPr>
          </w:p>
        </w:tc>
      </w:tr>
      <w:tr>
        <w:trPr>
          <w:trHeight w:val="273"/>
        </w:trPr>
        <w:tc>
          <w:tcPr>
            <w:tcW w:w="1640" w:type="dxa"/>
            <w:vAlign w:val="bottom"/>
          </w:tcPr>
          <w:p>
            <w:pPr>
              <w:jc w:val="right"/>
              <w:ind w:right="411"/>
              <w:spacing w:after="0"/>
              <w:rPr>
                <w:sz w:val="20"/>
                <w:szCs w:val="20"/>
                <w:color w:val="auto"/>
              </w:rPr>
            </w:pPr>
            <w:r>
              <w:rPr>
                <w:rFonts w:ascii="Arial" w:cs="Arial" w:eastAsia="Arial" w:hAnsi="Arial"/>
                <w:sz w:val="18"/>
                <w:szCs w:val="18"/>
                <w:color w:val="auto"/>
              </w:rPr>
              <w:t>Relative TSR</w:t>
            </w:r>
          </w:p>
        </w:tc>
        <w:tc>
          <w:tcPr>
            <w:tcW w:w="3360" w:type="dxa"/>
            <w:vAlign w:val="bottom"/>
          </w:tcPr>
          <w:p>
            <w:pPr>
              <w:jc w:val="right"/>
              <w:ind w:right="51"/>
              <w:spacing w:after="0"/>
              <w:rPr>
                <w:sz w:val="20"/>
                <w:szCs w:val="20"/>
                <w:color w:val="auto"/>
              </w:rPr>
            </w:pPr>
            <w:r>
              <w:rPr>
                <w:rFonts w:ascii="Arial" w:cs="Arial" w:eastAsia="Arial" w:hAnsi="Arial"/>
                <w:sz w:val="18"/>
                <w:szCs w:val="18"/>
                <w:color w:val="auto"/>
              </w:rPr>
              <w:t>July 28, 2015–December 31, 2019</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15, 2020</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360" w:type="dxa"/>
            <w:vAlign w:val="bottom"/>
          </w:tcPr>
          <w:p>
            <w:pPr>
              <w:jc w:val="right"/>
              <w:spacing w:after="0"/>
              <w:rPr>
                <w:sz w:val="20"/>
                <w:szCs w:val="20"/>
                <w:color w:val="auto"/>
              </w:rPr>
            </w:pPr>
            <w:r>
              <w:rPr>
                <w:rFonts w:ascii="Arial" w:cs="Arial" w:eastAsia="Arial" w:hAnsi="Arial"/>
                <w:sz w:val="18"/>
                <w:szCs w:val="18"/>
                <w:color w:val="auto"/>
              </w:rPr>
              <w:t>89</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8"/>
        </w:trPr>
        <w:tc>
          <w:tcPr>
            <w:tcW w:w="16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73"/>
        </w:trPr>
        <w:tc>
          <w:tcPr>
            <w:tcW w:w="1640" w:type="dxa"/>
            <w:vAlign w:val="bottom"/>
          </w:tcPr>
          <w:p>
            <w:pPr>
              <w:jc w:val="right"/>
              <w:ind w:right="411"/>
              <w:spacing w:after="0"/>
              <w:rPr>
                <w:sz w:val="20"/>
                <w:szCs w:val="20"/>
                <w:color w:val="auto"/>
              </w:rPr>
            </w:pPr>
            <w:r>
              <w:rPr>
                <w:rFonts w:ascii="Arial" w:cs="Arial" w:eastAsia="Arial" w:hAnsi="Arial"/>
                <w:sz w:val="18"/>
                <w:szCs w:val="18"/>
                <w:color w:val="auto"/>
              </w:rPr>
              <w:t>Relative TSR</w:t>
            </w:r>
          </w:p>
        </w:tc>
        <w:tc>
          <w:tcPr>
            <w:tcW w:w="3360" w:type="dxa"/>
            <w:vAlign w:val="bottom"/>
          </w:tcPr>
          <w:p>
            <w:pPr>
              <w:jc w:val="right"/>
              <w:ind w:right="51"/>
              <w:spacing w:after="0"/>
              <w:rPr>
                <w:sz w:val="20"/>
                <w:szCs w:val="20"/>
                <w:color w:val="auto"/>
              </w:rPr>
            </w:pPr>
            <w:r>
              <w:rPr>
                <w:rFonts w:ascii="Arial" w:cs="Arial" w:eastAsia="Arial" w:hAnsi="Arial"/>
                <w:sz w:val="18"/>
                <w:szCs w:val="18"/>
                <w:color w:val="auto"/>
              </w:rPr>
              <w:t>July 28, 2015–December 31, 2018</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15, 2019</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360" w:type="dxa"/>
            <w:vAlign w:val="bottom"/>
          </w:tcPr>
          <w:p>
            <w:pPr>
              <w:jc w:val="right"/>
              <w:spacing w:after="0"/>
              <w:rPr>
                <w:sz w:val="20"/>
                <w:szCs w:val="20"/>
                <w:color w:val="auto"/>
              </w:rPr>
            </w:pPr>
            <w:r>
              <w:rPr>
                <w:rFonts w:ascii="Arial" w:cs="Arial" w:eastAsia="Arial" w:hAnsi="Arial"/>
                <w:sz w:val="18"/>
                <w:szCs w:val="18"/>
                <w:color w:val="auto"/>
              </w:rPr>
              <w:t>88</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8"/>
        </w:trPr>
        <w:tc>
          <w:tcPr>
            <w:tcW w:w="164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73"/>
        </w:trPr>
        <w:tc>
          <w:tcPr>
            <w:tcW w:w="1640" w:type="dxa"/>
            <w:vAlign w:val="bottom"/>
          </w:tcPr>
          <w:p>
            <w:pPr>
              <w:jc w:val="right"/>
              <w:ind w:right="411"/>
              <w:spacing w:after="0"/>
              <w:rPr>
                <w:sz w:val="20"/>
                <w:szCs w:val="20"/>
                <w:color w:val="auto"/>
              </w:rPr>
            </w:pPr>
            <w:r>
              <w:rPr>
                <w:rFonts w:ascii="Arial" w:cs="Arial" w:eastAsia="Arial" w:hAnsi="Arial"/>
                <w:sz w:val="18"/>
                <w:szCs w:val="18"/>
                <w:color w:val="auto"/>
              </w:rPr>
              <w:t>Relative TSR</w:t>
            </w:r>
          </w:p>
        </w:tc>
        <w:tc>
          <w:tcPr>
            <w:tcW w:w="3360" w:type="dxa"/>
            <w:vAlign w:val="bottom"/>
          </w:tcPr>
          <w:p>
            <w:pPr>
              <w:jc w:val="right"/>
              <w:ind w:right="51"/>
              <w:spacing w:after="0"/>
              <w:rPr>
                <w:sz w:val="20"/>
                <w:szCs w:val="20"/>
                <w:color w:val="auto"/>
              </w:rPr>
            </w:pPr>
            <w:r>
              <w:rPr>
                <w:rFonts w:ascii="Arial" w:cs="Arial" w:eastAsia="Arial" w:hAnsi="Arial"/>
                <w:sz w:val="18"/>
                <w:szCs w:val="18"/>
                <w:color w:val="auto"/>
              </w:rPr>
              <w:t>July 28, 2015–December 31, 2017</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15, 2018</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68"/>
        </w:trPr>
        <w:tc>
          <w:tcPr>
            <w:tcW w:w="1640" w:type="dxa"/>
            <w:vAlign w:val="bottom"/>
            <w:tcBorders>
              <w:bottom w:val="single" w:sz="8" w:color="0033A0"/>
            </w:tcBorders>
          </w:tcPr>
          <w:p>
            <w:pPr>
              <w:spacing w:after="0"/>
              <w:rPr>
                <w:sz w:val="5"/>
                <w:szCs w:val="5"/>
                <w:color w:val="auto"/>
              </w:rPr>
            </w:pPr>
          </w:p>
        </w:tc>
        <w:tc>
          <w:tcPr>
            <w:tcW w:w="3360" w:type="dxa"/>
            <w:vAlign w:val="bottom"/>
            <w:tcBorders>
              <w:bottom w:val="single" w:sz="8" w:color="0033A0"/>
            </w:tcBorders>
          </w:tcPr>
          <w:p>
            <w:pPr>
              <w:spacing w:after="0"/>
              <w:rPr>
                <w:sz w:val="5"/>
                <w:szCs w:val="5"/>
                <w:color w:val="auto"/>
              </w:rPr>
            </w:pPr>
          </w:p>
        </w:tc>
        <w:tc>
          <w:tcPr>
            <w:tcW w:w="1640" w:type="dxa"/>
            <w:vAlign w:val="bottom"/>
            <w:tcBorders>
              <w:bottom w:val="single" w:sz="8" w:color="0033A0"/>
            </w:tcBorders>
          </w:tcPr>
          <w:p>
            <w:pPr>
              <w:spacing w:after="0"/>
              <w:rPr>
                <w:sz w:val="5"/>
                <w:szCs w:val="5"/>
                <w:color w:val="auto"/>
              </w:rPr>
            </w:pPr>
          </w:p>
        </w:tc>
        <w:tc>
          <w:tcPr>
            <w:tcW w:w="760" w:type="dxa"/>
            <w:vAlign w:val="bottom"/>
            <w:tcBorders>
              <w:bottom w:val="single" w:sz="8" w:color="0033A0"/>
            </w:tcBorders>
          </w:tcPr>
          <w:p>
            <w:pPr>
              <w:spacing w:after="0"/>
              <w:rPr>
                <w:sz w:val="5"/>
                <w:szCs w:val="5"/>
                <w:color w:val="auto"/>
              </w:rPr>
            </w:pPr>
          </w:p>
        </w:tc>
        <w:tc>
          <w:tcPr>
            <w:tcW w:w="1380" w:type="dxa"/>
            <w:vAlign w:val="bottom"/>
            <w:tcBorders>
              <w:bottom w:val="single" w:sz="8" w:color="0033A0"/>
            </w:tcBorders>
          </w:tcPr>
          <w:p>
            <w:pPr>
              <w:spacing w:after="0"/>
              <w:rPr>
                <w:sz w:val="5"/>
                <w:szCs w:val="5"/>
                <w:color w:val="auto"/>
              </w:rPr>
            </w:pPr>
          </w:p>
        </w:tc>
        <w:tc>
          <w:tcPr>
            <w:tcW w:w="1360" w:type="dxa"/>
            <w:vAlign w:val="bottom"/>
            <w:tcBorders>
              <w:bottom w:val="single" w:sz="8" w:color="0033A0"/>
            </w:tcBorders>
          </w:tcPr>
          <w:p>
            <w:pPr>
              <w:spacing w:after="0"/>
              <w:rPr>
                <w:sz w:val="5"/>
                <w:szCs w:val="5"/>
                <w:color w:val="auto"/>
              </w:rPr>
            </w:pPr>
          </w:p>
        </w:tc>
        <w:tc>
          <w:tcPr>
            <w:tcW w:w="780" w:type="dxa"/>
            <w:vAlign w:val="bottom"/>
            <w:tcBorders>
              <w:bottom w:val="single" w:sz="8" w:color="0033A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793865" cy="1016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51</w:t>
      </w:r>
    </w:p>
    <w:p>
      <w:pPr>
        <w:sectPr>
          <w:pgSz w:w="11900" w:h="16838" w:orient="portrait"/>
          <w:cols w:equalWidth="0" w:num="1">
            <w:col w:w="11100"/>
          </w:cols>
          <w:pgMar w:left="320" w:top="45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68" w:lineRule="exact"/>
        <w:rPr>
          <w:sz w:val="20"/>
          <w:szCs w:val="20"/>
          <w:color w:val="auto"/>
        </w:rPr>
      </w:pPr>
    </w:p>
    <w:p>
      <w:pPr>
        <w:ind w:left="600" w:hanging="433"/>
        <w:spacing w:after="0"/>
        <w:tabs>
          <w:tab w:leader="none" w:pos="600" w:val="left"/>
        </w:tabs>
        <w:numPr>
          <w:ilvl w:val="0"/>
          <w:numId w:val="71"/>
        </w:numPr>
        <w:rPr>
          <w:rFonts w:ascii="Arial" w:cs="Arial" w:eastAsia="Arial" w:hAnsi="Arial"/>
          <w:sz w:val="25"/>
          <w:szCs w:val="25"/>
          <w:color w:val="0033A0"/>
        </w:rPr>
      </w:pPr>
      <w:r>
        <w:rPr>
          <w:rFonts w:ascii="Arial" w:cs="Arial" w:eastAsia="Arial" w:hAnsi="Arial"/>
          <w:sz w:val="25"/>
          <w:szCs w:val="25"/>
          <w:color w:val="auto"/>
        </w:rPr>
        <w:t>Compensation Decisions for Mary T. Barra</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0033A0"/>
        </w:rPr>
        <w:t xml:space="preserve">Mary T. Barra, </w:t>
      </w:r>
      <w:r>
        <w:rPr>
          <w:rFonts w:ascii="Arial" w:cs="Arial" w:eastAsia="Arial" w:hAnsi="Arial"/>
          <w:sz w:val="20"/>
          <w:szCs w:val="20"/>
          <w:b w:val="1"/>
          <w:bCs w:val="1"/>
          <w:color w:val="000000"/>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68825" cy="3583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568825" cy="3583940"/>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2019 performance highlights to strategic goals for Ms. Barra include: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Culture</w:t>
      </w:r>
    </w:p>
    <w:p>
      <w:pPr>
        <w:spacing w:after="0" w:line="23" w:lineRule="exact"/>
        <w:rPr>
          <w:sz w:val="20"/>
          <w:szCs w:val="20"/>
          <w:color w:val="auto"/>
        </w:rPr>
      </w:pPr>
    </w:p>
    <w:p>
      <w:pPr>
        <w:ind w:left="600" w:right="220" w:hanging="212"/>
        <w:spacing w:after="0" w:line="256"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enterprise engagement towards a safety-first culture resulting in zero</w:t>
      </w:r>
      <w:r>
        <w:rPr>
          <w:rFonts w:ascii="Arial" w:cs="Arial" w:eastAsia="Arial" w:hAnsi="Arial"/>
          <w:sz w:val="16"/>
          <w:szCs w:val="16"/>
          <w:color w:val="00A1DF"/>
        </w:rPr>
        <w:t xml:space="preserve"> </w:t>
      </w:r>
      <w:r>
        <w:rPr>
          <w:rFonts w:ascii="Arial" w:cs="Arial" w:eastAsia="Arial" w:hAnsi="Arial"/>
          <w:sz w:val="16"/>
          <w:szCs w:val="16"/>
          <w:color w:val="000000"/>
        </w:rPr>
        <w:t xml:space="preserve">fatalities and reductions in permanently disabling injuries and lost workdays </w:t>
      </w:r>
      <w:r>
        <w:rPr>
          <w:sz w:val="1"/>
          <w:szCs w:val="1"/>
          <w:color w:val="auto"/>
        </w:rPr>
        <w:drawing>
          <wp:inline distT="0" distB="0" distL="0" distR="0">
            <wp:extent cx="76200" cy="762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ind w:left="600" w:right="240" w:hanging="212"/>
        <w:spacing w:after="0" w:line="257"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Named by Corporate Responsibility Magazine as 100 Best Corporate Citizens of 2019 for</w:t>
      </w:r>
      <w:r>
        <w:rPr>
          <w:rFonts w:ascii="Arial" w:cs="Arial" w:eastAsia="Arial" w:hAnsi="Arial"/>
          <w:sz w:val="16"/>
          <w:szCs w:val="16"/>
          <w:color w:val="00A1DF"/>
        </w:rPr>
        <w:t xml:space="preserve"> </w:t>
      </w:r>
      <w:r>
        <w:rPr>
          <w:rFonts w:ascii="Arial" w:cs="Arial" w:eastAsia="Arial" w:hAnsi="Arial"/>
          <w:sz w:val="16"/>
          <w:szCs w:val="16"/>
          <w:color w:val="000000"/>
        </w:rPr>
        <w:t xml:space="preserve">outstanding environmental, social, and governance transparency and performance </w:t>
      </w:r>
      <w:r>
        <w:rPr>
          <w:sz w:val="1"/>
          <w:szCs w:val="1"/>
          <w:color w:val="auto"/>
        </w:rPr>
        <w:drawing>
          <wp:inline distT="0" distB="0" distL="0" distR="0">
            <wp:extent cx="76200" cy="762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ind w:left="540" w:hanging="155"/>
        <w:spacing w:after="0"/>
        <w:tabs>
          <w:tab w:leader="none" w:pos="540" w:val="left"/>
        </w:tabs>
        <w:numPr>
          <w:ilvl w:val="0"/>
          <w:numId w:val="72"/>
        </w:numPr>
        <w:rPr>
          <w:rFonts w:ascii="Arial" w:cs="Arial" w:eastAsia="Arial" w:hAnsi="Arial"/>
          <w:sz w:val="16"/>
          <w:szCs w:val="16"/>
          <w:color w:val="00A1DF"/>
        </w:rPr>
      </w:pPr>
      <w:r>
        <w:rPr>
          <w:rFonts w:ascii="Arial" w:cs="Arial" w:eastAsia="Arial" w:hAnsi="Arial"/>
          <w:sz w:val="16"/>
          <w:szCs w:val="16"/>
          <w:color w:val="auto"/>
        </w:rPr>
        <w:t>Named to the Bloomberg Gender Equality Index for second year in a row</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Core Operations</w:t>
      </w:r>
    </w:p>
    <w:p>
      <w:pPr>
        <w:spacing w:after="0" w:line="23" w:lineRule="exact"/>
        <w:rPr>
          <w:sz w:val="20"/>
          <w:szCs w:val="20"/>
          <w:color w:val="auto"/>
        </w:rPr>
      </w:pPr>
    </w:p>
    <w:p>
      <w:pPr>
        <w:ind w:left="540" w:hanging="155"/>
        <w:spacing w:after="0"/>
        <w:tabs>
          <w:tab w:leader="none" w:pos="54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Sold more than 1 million crossovers for the second year in a row in the U.S.</w:t>
      </w:r>
    </w:p>
    <w:p>
      <w:pPr>
        <w:spacing w:after="0" w:line="16" w:lineRule="exact"/>
        <w:rPr>
          <w:rFonts w:ascii="Arial" w:cs="Arial" w:eastAsia="Arial" w:hAnsi="Arial"/>
          <w:sz w:val="16"/>
          <w:szCs w:val="16"/>
          <w:color w:val="00A1DF"/>
        </w:rPr>
      </w:pPr>
    </w:p>
    <w:p>
      <w:pPr>
        <w:ind w:left="600" w:right="220" w:hanging="215"/>
        <w:spacing w:after="0" w:line="252" w:lineRule="auto"/>
        <w:tabs>
          <w:tab w:leader="none" w:pos="547"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Generated $137.2B in Revenue, $8.4B in EBIT-adjusted, 6.1% EBIT-adjusted margin, 16.2% ROIC-adjusted, and EPS-diluted-adjusted of $4.82</w:t>
      </w:r>
    </w:p>
    <w:p>
      <w:pPr>
        <w:spacing w:after="0" w:line="1" w:lineRule="exact"/>
        <w:rPr>
          <w:rFonts w:ascii="Arial" w:cs="Arial" w:eastAsia="Arial" w:hAnsi="Arial"/>
          <w:sz w:val="16"/>
          <w:szCs w:val="16"/>
          <w:color w:val="00A1DF"/>
        </w:rPr>
      </w:pPr>
    </w:p>
    <w:p>
      <w:pPr>
        <w:ind w:left="540" w:hanging="155"/>
        <w:spacing w:after="0"/>
        <w:tabs>
          <w:tab w:leader="none" w:pos="540"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GM Financial generated record-breaking earnings before tax of $2.1B</w:t>
      </w:r>
    </w:p>
    <w:p>
      <w:pPr>
        <w:spacing w:after="0" w:line="16" w:lineRule="exact"/>
        <w:rPr>
          <w:rFonts w:ascii="Arial" w:cs="Arial" w:eastAsia="Arial" w:hAnsi="Arial"/>
          <w:sz w:val="16"/>
          <w:szCs w:val="16"/>
          <w:color w:val="00A1DF"/>
        </w:rPr>
      </w:pPr>
    </w:p>
    <w:p>
      <w:pPr>
        <w:jc w:val="both"/>
        <w:ind w:left="600" w:right="220" w:hanging="215"/>
        <w:spacing w:after="0" w:line="248" w:lineRule="auto"/>
        <w:tabs>
          <w:tab w:leader="none" w:pos="547"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Negotiated a new four-year labor agreement with the UAW, committing to $7.7B in future product investments along with the creation or retention of 9,000 U.S. jobs while keeping product flexibility, improving our footprint utilization, and maintaining a strong break-even point and protecting the balance sheet</w:t>
      </w:r>
    </w:p>
    <w:p>
      <w:pPr>
        <w:spacing w:after="0" w:line="1" w:lineRule="exact"/>
        <w:rPr>
          <w:rFonts w:ascii="Arial" w:cs="Arial" w:eastAsia="Arial" w:hAnsi="Arial"/>
          <w:sz w:val="16"/>
          <w:szCs w:val="16"/>
          <w:color w:val="00A1DF"/>
        </w:rPr>
      </w:pPr>
    </w:p>
    <w:p>
      <w:pPr>
        <w:ind w:left="600" w:right="220" w:hanging="215"/>
        <w:spacing w:after="0" w:line="257" w:lineRule="auto"/>
        <w:tabs>
          <w:tab w:leader="none" w:pos="547" w:val="left"/>
        </w:tabs>
        <w:numPr>
          <w:ilvl w:val="0"/>
          <w:numId w:val="73"/>
        </w:numPr>
        <w:rPr>
          <w:rFonts w:ascii="Arial" w:cs="Arial" w:eastAsia="Arial" w:hAnsi="Arial"/>
          <w:sz w:val="16"/>
          <w:szCs w:val="16"/>
          <w:color w:val="00A1DF"/>
        </w:rPr>
      </w:pPr>
      <w:r>
        <w:rPr>
          <w:rFonts w:ascii="Arial" w:cs="Arial" w:eastAsia="Arial" w:hAnsi="Arial"/>
          <w:sz w:val="16"/>
          <w:szCs w:val="16"/>
          <w:color w:val="auto"/>
        </w:rPr>
        <w:t>Unveiled the all new mid-engine Chevrolet Corvette earning 2020 North American Car of the Year and Motor Trend Car of the Year</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Transformation</w:t>
      </w:r>
    </w:p>
    <w:p>
      <w:pPr>
        <w:spacing w:after="0" w:line="23" w:lineRule="exact"/>
        <w:rPr>
          <w:sz w:val="20"/>
          <w:szCs w:val="20"/>
          <w:color w:val="auto"/>
        </w:rPr>
      </w:pPr>
    </w:p>
    <w:p>
      <w:pPr>
        <w:jc w:val="both"/>
        <w:ind w:left="600" w:right="220" w:hanging="215"/>
        <w:spacing w:after="0" w:line="250" w:lineRule="auto"/>
        <w:tabs>
          <w:tab w:leader="none" w:pos="547" w:val="left"/>
        </w:tabs>
        <w:numPr>
          <w:ilvl w:val="0"/>
          <w:numId w:val="74"/>
        </w:numPr>
        <w:rPr>
          <w:rFonts w:ascii="Arial" w:cs="Arial" w:eastAsia="Arial" w:hAnsi="Arial"/>
          <w:sz w:val="16"/>
          <w:szCs w:val="16"/>
          <w:color w:val="00A1DF"/>
        </w:rPr>
      </w:pPr>
      <w:r>
        <w:rPr>
          <w:rFonts w:ascii="Arial" w:cs="Arial" w:eastAsia="Arial" w:hAnsi="Arial"/>
          <w:sz w:val="16"/>
          <w:szCs w:val="16"/>
          <w:color w:val="auto"/>
        </w:rPr>
        <w:t>Earned U.S. Environmental Protection Agency Green Power Leadership Award for helping to develop a diverse renewable energy supply portfolio reinforcing our vision for a zero emissions future</w:t>
      </w:r>
    </w:p>
    <w:p>
      <w:pPr>
        <w:ind w:left="600" w:right="220" w:hanging="215"/>
        <w:spacing w:after="0" w:line="252" w:lineRule="auto"/>
        <w:tabs>
          <w:tab w:leader="none" w:pos="538" w:val="left"/>
        </w:tabs>
        <w:numPr>
          <w:ilvl w:val="0"/>
          <w:numId w:val="74"/>
        </w:numPr>
        <w:rPr>
          <w:rFonts w:ascii="Arial" w:cs="Arial" w:eastAsia="Arial" w:hAnsi="Arial"/>
          <w:sz w:val="16"/>
          <w:szCs w:val="16"/>
          <w:color w:val="00A1DF"/>
        </w:rPr>
      </w:pPr>
      <w:r>
        <w:rPr>
          <w:rFonts w:ascii="Arial" w:cs="Arial" w:eastAsia="Arial" w:hAnsi="Arial"/>
          <w:sz w:val="16"/>
          <w:szCs w:val="16"/>
          <w:color w:val="auto"/>
        </w:rPr>
        <w:t xml:space="preserve">Announced a joint venture with LG Chem to build a new plant to mass-produce battery cells for future EVs </w:t>
      </w:r>
      <w:r>
        <w:rPr>
          <w:rFonts w:ascii="Arial" w:cs="Arial" w:eastAsia="Arial" w:hAnsi="Arial"/>
          <w:sz w:val="1"/>
          <w:szCs w:val="1"/>
          <w:color w:val="00A1DF"/>
        </w:rPr>
        <w:drawing>
          <wp:inline distT="0" distB="0" distL="0" distR="0">
            <wp:extent cx="76200" cy="762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rFonts w:ascii="Arial" w:cs="Arial" w:eastAsia="Arial" w:hAnsi="Arial"/>
          <w:sz w:val="16"/>
          <w:szCs w:val="16"/>
          <w:color w:val="00A1DF"/>
        </w:rPr>
      </w:pPr>
    </w:p>
    <w:p>
      <w:pPr>
        <w:ind w:left="600" w:right="240" w:hanging="215"/>
        <w:spacing w:after="0" w:line="252" w:lineRule="auto"/>
        <w:tabs>
          <w:tab w:leader="none" w:pos="547" w:val="left"/>
        </w:tabs>
        <w:numPr>
          <w:ilvl w:val="0"/>
          <w:numId w:val="74"/>
        </w:numPr>
        <w:rPr>
          <w:rFonts w:ascii="Arial" w:cs="Arial" w:eastAsia="Arial" w:hAnsi="Arial"/>
          <w:sz w:val="16"/>
          <w:szCs w:val="16"/>
          <w:color w:val="00A1DF"/>
        </w:rPr>
      </w:pPr>
      <w:r>
        <w:rPr>
          <w:rFonts w:ascii="Arial" w:cs="Arial" w:eastAsia="Arial" w:hAnsi="Arial"/>
          <w:sz w:val="16"/>
          <w:szCs w:val="16"/>
          <w:color w:val="auto"/>
        </w:rPr>
        <w:t xml:space="preserve">Launched the new digital vehicle platform that will enable the next generation of vehicles, EVs, active safety, and infotainment and connectivity features </w:t>
      </w:r>
      <w:r>
        <w:rPr>
          <w:rFonts w:ascii="Arial" w:cs="Arial" w:eastAsia="Arial" w:hAnsi="Arial"/>
          <w:sz w:val="1"/>
          <w:szCs w:val="1"/>
          <w:color w:val="00A1DF"/>
        </w:rPr>
        <w:drawing>
          <wp:inline distT="0" distB="0" distL="0" distR="0">
            <wp:extent cx="76200" cy="762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rFonts w:ascii="Arial" w:cs="Arial" w:eastAsia="Arial" w:hAnsi="Arial"/>
          <w:sz w:val="16"/>
          <w:szCs w:val="16"/>
          <w:color w:val="00A1DF"/>
        </w:rPr>
      </w:pPr>
    </w:p>
    <w:p>
      <w:pPr>
        <w:ind w:left="600" w:right="220" w:hanging="215"/>
        <w:spacing w:after="0" w:line="273" w:lineRule="auto"/>
        <w:tabs>
          <w:tab w:leader="none" w:pos="547" w:val="left"/>
        </w:tabs>
        <w:numPr>
          <w:ilvl w:val="0"/>
          <w:numId w:val="74"/>
        </w:numPr>
        <w:rPr>
          <w:rFonts w:ascii="Arial" w:cs="Arial" w:eastAsia="Arial" w:hAnsi="Arial"/>
          <w:sz w:val="16"/>
          <w:szCs w:val="16"/>
          <w:color w:val="00A1DF"/>
        </w:rPr>
      </w:pPr>
      <w:r>
        <w:rPr>
          <w:rFonts w:ascii="Arial" w:cs="Arial" w:eastAsia="Arial" w:hAnsi="Arial"/>
          <w:sz w:val="16"/>
          <w:szCs w:val="16"/>
          <w:color w:val="auto"/>
        </w:rPr>
        <w:t xml:space="preserve">Enabled access to numerous charging ports through collaborations with EVgo, ChargePoint, and Greenlots, the largest collective EV charging network in the U.S. </w:t>
      </w:r>
      <w:r>
        <w:rPr>
          <w:rFonts w:ascii="Arial" w:cs="Arial" w:eastAsia="Arial" w:hAnsi="Arial"/>
          <w:sz w:val="1"/>
          <w:szCs w:val="1"/>
          <w:color w:val="00A1DF"/>
        </w:rPr>
        <w:drawing>
          <wp:inline distT="0" distB="0" distL="0" distR="0">
            <wp:extent cx="76200" cy="762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07"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Compensation Committee made the following pay decisions considering feedback from their independent compensation consultant:</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3A0"/>
        </w:rPr>
        <w:t xml:space="preserve">Base Salary </w:t>
      </w:r>
      <w:r>
        <w:rPr>
          <w:rFonts w:ascii="Arial" w:cs="Arial" w:eastAsia="Arial" w:hAnsi="Arial"/>
          <w:sz w:val="18"/>
          <w:szCs w:val="18"/>
          <w:color w:val="000000"/>
        </w:rPr>
        <w:t>– Held base salary at $2,100,000 based on competitive market analysis.</w:t>
      </w:r>
    </w:p>
    <w:p>
      <w:pPr>
        <w:spacing w:after="0" w:line="10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color w:val="0033A0"/>
        </w:rPr>
        <w:t xml:space="preserve">Annual Incentive </w:t>
      </w:r>
      <w:r>
        <w:rPr>
          <w:rFonts w:ascii="Arial" w:cs="Arial" w:eastAsia="Arial" w:hAnsi="Arial"/>
          <w:sz w:val="18"/>
          <w:szCs w:val="18"/>
          <w:color w:val="000000"/>
        </w:rPr>
        <w:t>– Awarded 33 points based on results to strategic goals, highlighted</w:t>
      </w:r>
      <w:r>
        <w:rPr>
          <w:rFonts w:ascii="Arial" w:cs="Arial" w:eastAsia="Arial" w:hAnsi="Arial"/>
          <w:sz w:val="18"/>
          <w:szCs w:val="18"/>
          <w:b w:val="1"/>
          <w:bCs w:val="1"/>
          <w:color w:val="0033A0"/>
        </w:rPr>
        <w:t xml:space="preserve"> </w:t>
      </w:r>
      <w:r>
        <w:rPr>
          <w:rFonts w:ascii="Arial" w:cs="Arial" w:eastAsia="Arial" w:hAnsi="Arial"/>
          <w:sz w:val="18"/>
          <w:szCs w:val="18"/>
          <w:color w:val="000000"/>
        </w:rPr>
        <w:t>above, for the 2019 STIP performance year.</w:t>
      </w:r>
    </w:p>
    <w:p>
      <w:pPr>
        <w:spacing w:after="0" w:line="5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b w:val="1"/>
          <w:bCs w:val="1"/>
          <w:color w:val="0033A0"/>
        </w:rPr>
        <w:t xml:space="preserve">Long-Term Incentive </w:t>
      </w:r>
      <w:r>
        <w:rPr>
          <w:rFonts w:ascii="Arial" w:cs="Arial" w:eastAsia="Arial" w:hAnsi="Arial"/>
          <w:sz w:val="18"/>
          <w:szCs w:val="18"/>
          <w:color w:val="000000"/>
        </w:rPr>
        <w:t>– In February 2019, awarded an annual LTIP grant of $14.1 million,</w:t>
      </w:r>
      <w:r>
        <w:rPr>
          <w:rFonts w:ascii="Arial" w:cs="Arial" w:eastAsia="Arial" w:hAnsi="Arial"/>
          <w:sz w:val="18"/>
          <w:szCs w:val="18"/>
          <w:b w:val="1"/>
          <w:bCs w:val="1"/>
          <w:color w:val="0033A0"/>
        </w:rPr>
        <w:t xml:space="preserve"> </w:t>
      </w:r>
      <w:r>
        <w:rPr>
          <w:rFonts w:ascii="Arial" w:cs="Arial" w:eastAsia="Arial" w:hAnsi="Arial"/>
          <w:sz w:val="18"/>
          <w:szCs w:val="18"/>
          <w:color w:val="000000"/>
        </w:rPr>
        <w:t>consisting of 75% PSUs and 25% Stock Options.</w:t>
      </w:r>
    </w:p>
    <w:p>
      <w:pPr>
        <w:spacing w:after="0" w:line="100" w:lineRule="exact"/>
        <w:rPr>
          <w:sz w:val="20"/>
          <w:szCs w:val="20"/>
          <w:color w:val="auto"/>
        </w:rPr>
      </w:pPr>
    </w:p>
    <w:p>
      <w:pPr>
        <w:ind w:left="160" w:right="500"/>
        <w:spacing w:after="0" w:line="239" w:lineRule="auto"/>
        <w:rPr>
          <w:sz w:val="20"/>
          <w:szCs w:val="20"/>
          <w:color w:val="auto"/>
        </w:rPr>
      </w:pPr>
      <w:r>
        <w:rPr>
          <w:rFonts w:ascii="Arial" w:cs="Arial" w:eastAsia="Arial" w:hAnsi="Arial"/>
          <w:sz w:val="18"/>
          <w:szCs w:val="18"/>
          <w:color w:val="auto"/>
        </w:rPr>
        <w:t>Total compensation for Ms. Barra in 2019, including salary, STIP, and LTIP awards, is displayed below.</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4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800" w:type="dxa"/>
            <w:vAlign w:val="bottom"/>
            <w:tcBorders>
              <w:top w:val="single" w:sz="8" w:color="00A1DF"/>
            </w:tcBorders>
          </w:tcPr>
          <w:p>
            <w:pPr>
              <w:ind w:left="280"/>
              <w:spacing w:after="0"/>
              <w:rPr>
                <w:sz w:val="20"/>
                <w:szCs w:val="20"/>
                <w:color w:val="auto"/>
              </w:rPr>
            </w:pPr>
            <w:r>
              <w:rPr>
                <w:rFonts w:ascii="Arial" w:cs="Arial" w:eastAsia="Arial" w:hAnsi="Arial"/>
                <w:sz w:val="16"/>
                <w:szCs w:val="16"/>
                <w:b w:val="1"/>
                <w:bCs w:val="1"/>
                <w:color w:val="00A1DF"/>
              </w:rPr>
              <w:t>Majority of Pay Is At-Risk</w:t>
            </w:r>
          </w:p>
        </w:tc>
        <w:tc>
          <w:tcPr>
            <w:tcW w:w="186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540" w:type="dxa"/>
            <w:vAlign w:val="bottom"/>
            <w:tcBorders>
              <w:bottom w:val="single" w:sz="8" w:color="00A1DF"/>
            </w:tcBorders>
          </w:tcPr>
          <w:p>
            <w:pPr>
              <w:spacing w:after="0"/>
              <w:rPr>
                <w:sz w:val="5"/>
                <w:szCs w:val="5"/>
                <w:color w:val="auto"/>
              </w:rPr>
            </w:pPr>
          </w:p>
        </w:tc>
        <w:tc>
          <w:tcPr>
            <w:tcW w:w="3800" w:type="dxa"/>
            <w:vAlign w:val="bottom"/>
            <w:tcBorders>
              <w:bottom w:val="single" w:sz="8" w:color="00A1DF"/>
            </w:tcBorders>
          </w:tcPr>
          <w:p>
            <w:pPr>
              <w:spacing w:after="0"/>
              <w:rPr>
                <w:sz w:val="5"/>
                <w:szCs w:val="5"/>
                <w:color w:val="auto"/>
              </w:rPr>
            </w:pPr>
          </w:p>
        </w:tc>
        <w:tc>
          <w:tcPr>
            <w:tcW w:w="1860" w:type="dxa"/>
            <w:vAlign w:val="bottom"/>
            <w:tcBorders>
              <w:bottom w:val="single" w:sz="8" w:color="00A1DF"/>
            </w:tcBorders>
          </w:tcPr>
          <w:p>
            <w:pPr>
              <w:spacing w:after="0"/>
              <w:rPr>
                <w:sz w:val="5"/>
                <w:szCs w:val="5"/>
                <w:color w:val="auto"/>
              </w:rPr>
            </w:pPr>
          </w:p>
        </w:tc>
      </w:tr>
      <w:tr>
        <w:trPr>
          <w:trHeight w:val="255"/>
        </w:trPr>
        <w:tc>
          <w:tcPr>
            <w:tcW w:w="154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800" w:type="dxa"/>
            <w:vAlign w:val="bottom"/>
          </w:tcPr>
          <w:p>
            <w:pPr>
              <w:ind w:left="280"/>
              <w:spacing w:after="0"/>
              <w:rPr>
                <w:sz w:val="20"/>
                <w:szCs w:val="20"/>
                <w:color w:val="auto"/>
              </w:rPr>
            </w:pPr>
            <w:r>
              <w:rPr>
                <w:rFonts w:ascii="Arial" w:cs="Arial" w:eastAsia="Arial" w:hAnsi="Arial"/>
                <w:sz w:val="16"/>
                <w:szCs w:val="16"/>
                <w:color w:val="auto"/>
              </w:rPr>
              <w:t>Only Fixed Pay Element</w:t>
            </w:r>
          </w:p>
        </w:tc>
        <w:tc>
          <w:tcPr>
            <w:tcW w:w="1860" w:type="dxa"/>
            <w:vAlign w:val="bottom"/>
          </w:tcPr>
          <w:p>
            <w:pPr>
              <w:jc w:val="right"/>
              <w:spacing w:after="0"/>
              <w:rPr>
                <w:sz w:val="20"/>
                <w:szCs w:val="20"/>
                <w:color w:val="auto"/>
              </w:rPr>
            </w:pPr>
            <w:r>
              <w:rPr>
                <w:rFonts w:ascii="Arial" w:cs="Arial" w:eastAsia="Arial" w:hAnsi="Arial"/>
                <w:sz w:val="16"/>
                <w:szCs w:val="16"/>
                <w:color w:val="auto"/>
              </w:rPr>
              <w:t>$2,100,000</w:t>
            </w:r>
          </w:p>
        </w:tc>
      </w:tr>
      <w:tr>
        <w:trPr>
          <w:trHeight w:val="72"/>
        </w:trPr>
        <w:tc>
          <w:tcPr>
            <w:tcW w:w="154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255"/>
        </w:trPr>
        <w:tc>
          <w:tcPr>
            <w:tcW w:w="1540" w:type="dxa"/>
            <w:vAlign w:val="bottom"/>
          </w:tcPr>
          <w:p>
            <w:pPr>
              <w:ind w:left="100"/>
              <w:spacing w:after="0"/>
              <w:rPr>
                <w:sz w:val="20"/>
                <w:szCs w:val="20"/>
                <w:color w:val="auto"/>
              </w:rPr>
            </w:pPr>
            <w:r>
              <w:rPr>
                <w:rFonts w:ascii="Arial" w:cs="Arial" w:eastAsia="Arial" w:hAnsi="Arial"/>
                <w:sz w:val="16"/>
                <w:szCs w:val="16"/>
                <w:color w:val="auto"/>
              </w:rPr>
              <w:t>STIP</w:t>
            </w:r>
          </w:p>
        </w:tc>
        <w:tc>
          <w:tcPr>
            <w:tcW w:w="3800" w:type="dxa"/>
            <w:vAlign w:val="bottom"/>
          </w:tcPr>
          <w:p>
            <w:pPr>
              <w:ind w:left="280"/>
              <w:spacing w:after="0"/>
              <w:rPr>
                <w:sz w:val="20"/>
                <w:szCs w:val="20"/>
                <w:color w:val="auto"/>
              </w:rPr>
            </w:pPr>
            <w:r>
              <w:rPr>
                <w:rFonts w:ascii="Arial" w:cs="Arial" w:eastAsia="Arial" w:hAnsi="Arial"/>
                <w:sz w:val="16"/>
                <w:szCs w:val="16"/>
                <w:color w:val="auto"/>
              </w:rPr>
              <w:t>Performance to Metrics</w:t>
            </w:r>
          </w:p>
        </w:tc>
        <w:tc>
          <w:tcPr>
            <w:tcW w:w="1860" w:type="dxa"/>
            <w:vAlign w:val="bottom"/>
          </w:tcPr>
          <w:p>
            <w:pPr>
              <w:jc w:val="right"/>
              <w:spacing w:after="0"/>
              <w:rPr>
                <w:sz w:val="20"/>
                <w:szCs w:val="20"/>
                <w:color w:val="auto"/>
              </w:rPr>
            </w:pPr>
            <w:r>
              <w:rPr>
                <w:rFonts w:ascii="Arial" w:cs="Arial" w:eastAsia="Arial" w:hAnsi="Arial"/>
                <w:sz w:val="16"/>
                <w:szCs w:val="16"/>
                <w:color w:val="auto"/>
              </w:rPr>
              <w:t>$2,730,000</w:t>
            </w:r>
          </w:p>
        </w:tc>
      </w:tr>
      <w:tr>
        <w:trPr>
          <w:trHeight w:val="72"/>
        </w:trPr>
        <w:tc>
          <w:tcPr>
            <w:tcW w:w="154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r>
      <w:tr>
        <w:trPr>
          <w:trHeight w:val="328"/>
        </w:trPr>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Performance to Metrics and Stock Price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$12,141,801</w:t>
            </w:r>
          </w:p>
        </w:tc>
      </w:tr>
      <w:tr>
        <w:trPr>
          <w:trHeight w:val="328"/>
        </w:trPr>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Performance to Stock Price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$3,525,000</w:t>
            </w:r>
          </w:p>
        </w:tc>
      </w:tr>
      <w:tr>
        <w:trPr>
          <w:trHeight w:val="255"/>
        </w:trPr>
        <w:tc>
          <w:tcPr>
            <w:tcW w:w="154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8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33A0"/>
              </w:rPr>
              <w:t>$20,496,801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hanging="273"/>
        <w:spacing w:after="0" w:line="246" w:lineRule="auto"/>
        <w:tabs>
          <w:tab w:leader="none" w:pos="4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-5137150</wp:posOffset>
            </wp:positionV>
            <wp:extent cx="1647825" cy="47472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47825" cy="4747260"/>
                    </a:xfrm>
                    <a:prstGeom prst="rect">
                      <a:avLst/>
                    </a:prstGeom>
                    <a:noFill/>
                  </pic:spPr>
                </pic:pic>
              </a:graphicData>
            </a:graphic>
          </wp:anchor>
        </w:drawing>
      </w:r>
    </w:p>
    <w:p>
      <w:pPr>
        <w:spacing w:after="0" w:line="3375" w:lineRule="exact"/>
        <w:rPr>
          <w:sz w:val="20"/>
          <w:szCs w:val="20"/>
          <w:color w:val="auto"/>
        </w:rPr>
      </w:pPr>
    </w:p>
    <w:p>
      <w:pPr>
        <w:sectPr>
          <w:pgSz w:w="11900" w:h="16838" w:orient="portrait"/>
          <w:cols w:equalWidth="0" w:num="2">
            <w:col w:w="7360" w:space="340"/>
            <w:col w:w="33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700"/>
        <w:spacing w:after="0"/>
        <w:rPr>
          <w:sz w:val="20"/>
          <w:szCs w:val="20"/>
          <w:color w:val="auto"/>
        </w:rPr>
      </w:pPr>
      <w:r>
        <w:rPr>
          <w:sz w:val="1"/>
          <w:szCs w:val="1"/>
          <w:color w:val="auto"/>
        </w:rPr>
        <w:drawing>
          <wp:inline distT="0" distB="0" distL="0" distR="0">
            <wp:extent cx="76200" cy="762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7"/>
          <w:szCs w:val="17"/>
          <w:i w:val="1"/>
          <w:iCs w:val="1"/>
          <w:color w:val="auto"/>
        </w:rPr>
        <w:t xml:space="preserve"> Represents ESG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201930</wp:posOffset>
            </wp:positionV>
            <wp:extent cx="6793865" cy="1016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52</w:t>
      </w:r>
    </w:p>
    <w:p>
      <w:pPr>
        <w:sectPr>
          <w:pgSz w:w="11900" w:h="16838" w:orient="portrait"/>
          <w:cols w:equalWidth="0" w:num="1">
            <w:col w:w="11080"/>
          </w:cols>
          <w:pgMar w:left="320" w:top="456" w:right="4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8" w:lineRule="exact"/>
        <w:rPr>
          <w:sz w:val="20"/>
          <w:szCs w:val="20"/>
          <w:color w:val="auto"/>
        </w:rPr>
      </w:pPr>
    </w:p>
    <w:p>
      <w:pPr>
        <w:ind w:left="600" w:hanging="433"/>
        <w:spacing w:after="0"/>
        <w:tabs>
          <w:tab w:leader="none" w:pos="600" w:val="left"/>
        </w:tabs>
        <w:numPr>
          <w:ilvl w:val="0"/>
          <w:numId w:val="76"/>
        </w:numPr>
        <w:rPr>
          <w:rFonts w:ascii="Arial" w:cs="Arial" w:eastAsia="Arial" w:hAnsi="Arial"/>
          <w:sz w:val="25"/>
          <w:szCs w:val="25"/>
          <w:color w:val="0033A0"/>
        </w:rPr>
      </w:pPr>
      <w:r>
        <w:rPr>
          <w:rFonts w:ascii="Arial" w:cs="Arial" w:eastAsia="Arial" w:hAnsi="Arial"/>
          <w:sz w:val="25"/>
          <w:szCs w:val="25"/>
          <w:color w:val="auto"/>
        </w:rPr>
        <w:t>Compensation Decisions for Dhivya Suryadevara</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33A0"/>
        </w:rPr>
        <w:t xml:space="preserve">Dhivya Suryadevara, </w:t>
      </w:r>
      <w:r>
        <w:rPr>
          <w:rFonts w:ascii="Arial" w:cs="Arial" w:eastAsia="Arial" w:hAnsi="Arial"/>
          <w:sz w:val="20"/>
          <w:szCs w:val="20"/>
          <w:b w:val="1"/>
          <w:bCs w:val="1"/>
          <w:color w:val="000000"/>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657975" cy="2428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657975" cy="2428875"/>
                    </a:xfrm>
                    <a:prstGeom prst="rect">
                      <a:avLst/>
                    </a:prstGeom>
                    <a:noFill/>
                  </pic:spPr>
                </pic:pic>
              </a:graphicData>
            </a:graphic>
          </wp:anchor>
        </w:drawing>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2019 performance highlights to strategic goals for Ms. Suryadevara include: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Culture</w:t>
      </w:r>
    </w:p>
    <w:p>
      <w:pPr>
        <w:spacing w:after="0" w:line="65" w:lineRule="exact"/>
        <w:rPr>
          <w:sz w:val="20"/>
          <w:szCs w:val="20"/>
          <w:color w:val="auto"/>
        </w:rPr>
      </w:pPr>
    </w:p>
    <w:p>
      <w:pPr>
        <w:ind w:left="620" w:right="3980" w:hanging="212"/>
        <w:spacing w:after="0" w:line="289"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enterprise engagement towards a safety-first culture resulting in zero</w:t>
      </w:r>
      <w:r>
        <w:rPr>
          <w:rFonts w:ascii="Arial" w:cs="Arial" w:eastAsia="Arial" w:hAnsi="Arial"/>
          <w:sz w:val="16"/>
          <w:szCs w:val="16"/>
          <w:color w:val="00A1DF"/>
        </w:rPr>
        <w:t xml:space="preserve"> </w:t>
      </w:r>
      <w:r>
        <w:rPr>
          <w:rFonts w:ascii="Arial" w:cs="Arial" w:eastAsia="Arial" w:hAnsi="Arial"/>
          <w:sz w:val="16"/>
          <w:szCs w:val="16"/>
          <w:color w:val="000000"/>
        </w:rPr>
        <w:t xml:space="preserve">fatalities and reductions in permanently disabling injuries and lost workdays </w:t>
      </w:r>
      <w:r>
        <w:rPr>
          <w:sz w:val="1"/>
          <w:szCs w:val="1"/>
          <w:color w:val="auto"/>
        </w:rPr>
        <w:drawing>
          <wp:inline distT="0" distB="0" distL="0" distR="0">
            <wp:extent cx="76200" cy="762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Core Operations</w:t>
      </w:r>
    </w:p>
    <w:p>
      <w:pPr>
        <w:spacing w:after="0" w:line="65" w:lineRule="exact"/>
        <w:rPr>
          <w:sz w:val="20"/>
          <w:szCs w:val="20"/>
          <w:color w:val="auto"/>
        </w:rPr>
      </w:pPr>
    </w:p>
    <w:p>
      <w:pPr>
        <w:ind w:left="620" w:right="398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Generated</w:t>
      </w:r>
      <w:r>
        <w:rPr>
          <w:sz w:val="20"/>
          <w:szCs w:val="20"/>
          <w:color w:val="auto"/>
        </w:rPr>
        <w:t xml:space="preserve"> </w:t>
      </w:r>
      <w:r>
        <w:rPr>
          <w:rFonts w:ascii="Arial" w:cs="Arial" w:eastAsia="Arial" w:hAnsi="Arial"/>
          <w:sz w:val="16"/>
          <w:szCs w:val="16"/>
          <w:color w:val="auto"/>
        </w:rPr>
        <w:t>$137.2B in Revenue, $8.4B in EBIT-adjusted, 6.1% EBIT-adjusted margin, 16.2% ROIC-adjusted, and EPS-diluted-adjusted of $4.82</w:t>
      </w:r>
    </w:p>
    <w:p>
      <w:pPr>
        <w:spacing w:after="0" w:line="1" w:lineRule="exact"/>
        <w:rPr>
          <w:sz w:val="20"/>
          <w:szCs w:val="20"/>
          <w:color w:val="auto"/>
        </w:rPr>
      </w:pPr>
    </w:p>
    <w:p>
      <w:pPr>
        <w:ind w:left="560" w:hanging="162"/>
        <w:spacing w:after="0"/>
        <w:tabs>
          <w:tab w:leader="none" w:pos="560"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Continued to enhance organizational focus on cash and quality of earnings</w:t>
      </w:r>
    </w:p>
    <w:p>
      <w:pPr>
        <w:spacing w:after="0" w:line="29" w:lineRule="exact"/>
        <w:rPr>
          <w:rFonts w:ascii="Arial" w:cs="Arial" w:eastAsia="Arial" w:hAnsi="Arial"/>
          <w:sz w:val="16"/>
          <w:szCs w:val="16"/>
          <w:color w:val="00A1DF"/>
        </w:rPr>
      </w:pPr>
    </w:p>
    <w:p>
      <w:pPr>
        <w:ind w:left="620" w:right="3980" w:hanging="222"/>
        <w:spacing w:after="0" w:line="252" w:lineRule="auto"/>
        <w:tabs>
          <w:tab w:leader="none" w:pos="558"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Achieved record GM Financial earnings in 2019 of $2.1B and $400M in dividends paid back to GM</w:t>
      </w:r>
    </w:p>
    <w:p>
      <w:pPr>
        <w:spacing w:after="0" w:line="1" w:lineRule="exact"/>
        <w:rPr>
          <w:rFonts w:ascii="Arial" w:cs="Arial" w:eastAsia="Arial" w:hAnsi="Arial"/>
          <w:sz w:val="16"/>
          <w:szCs w:val="16"/>
          <w:color w:val="00A1DF"/>
        </w:rPr>
      </w:pPr>
    </w:p>
    <w:p>
      <w:pPr>
        <w:ind w:left="620" w:right="3980" w:hanging="222"/>
        <w:spacing w:after="0" w:line="273" w:lineRule="auto"/>
        <w:tabs>
          <w:tab w:leader="none" w:pos="567" w:val="left"/>
        </w:tabs>
        <w:numPr>
          <w:ilvl w:val="0"/>
          <w:numId w:val="77"/>
        </w:numPr>
        <w:rPr>
          <w:rFonts w:ascii="Arial" w:cs="Arial" w:eastAsia="Arial" w:hAnsi="Arial"/>
          <w:sz w:val="16"/>
          <w:szCs w:val="16"/>
          <w:color w:val="00A1DF"/>
        </w:rPr>
      </w:pPr>
      <w:r>
        <w:rPr>
          <w:rFonts w:ascii="Arial" w:cs="Arial" w:eastAsia="Arial" w:hAnsi="Arial"/>
          <w:sz w:val="16"/>
          <w:szCs w:val="16"/>
          <w:color w:val="auto"/>
        </w:rPr>
        <w:t>Continued to execute a robust investor outreach strategy with focus on key franchises and leveraged traditional and non-traditional venues to optimize engagement</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Transformation</w:t>
      </w:r>
    </w:p>
    <w:p>
      <w:pPr>
        <w:spacing w:after="0" w:line="65" w:lineRule="exact"/>
        <w:rPr>
          <w:sz w:val="20"/>
          <w:szCs w:val="20"/>
          <w:color w:val="auto"/>
        </w:rPr>
      </w:pPr>
    </w:p>
    <w:p>
      <w:pPr>
        <w:ind w:left="620" w:right="398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Announced joint venture with LG Chem to build a new plant to mass-produce battery cells</w:t>
      </w:r>
      <w:r>
        <w:rPr>
          <w:rFonts w:ascii="Arial" w:cs="Arial" w:eastAsia="Arial" w:hAnsi="Arial"/>
          <w:sz w:val="16"/>
          <w:szCs w:val="16"/>
          <w:color w:val="00A1DF"/>
        </w:rPr>
        <w:t xml:space="preserve"> </w:t>
      </w:r>
      <w:r>
        <w:rPr>
          <w:rFonts w:ascii="Arial" w:cs="Arial" w:eastAsia="Arial" w:hAnsi="Arial"/>
          <w:sz w:val="16"/>
          <w:szCs w:val="16"/>
          <w:color w:val="000000"/>
        </w:rPr>
        <w:t xml:space="preserve">for an all-electric future </w:t>
      </w:r>
      <w:r>
        <w:rPr>
          <w:sz w:val="1"/>
          <w:szCs w:val="1"/>
          <w:color w:val="auto"/>
        </w:rPr>
        <w:drawing>
          <wp:inline distT="0" distB="0" distL="0" distR="0">
            <wp:extent cx="76200" cy="762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ind w:left="560" w:hanging="162"/>
        <w:spacing w:after="0"/>
        <w:tabs>
          <w:tab w:leader="none" w:pos="560" w:val="left"/>
        </w:tabs>
        <w:numPr>
          <w:ilvl w:val="0"/>
          <w:numId w:val="78"/>
        </w:numPr>
        <w:rPr>
          <w:rFonts w:ascii="Arial" w:cs="Arial" w:eastAsia="Arial" w:hAnsi="Arial"/>
          <w:sz w:val="16"/>
          <w:szCs w:val="16"/>
          <w:color w:val="00A1DF"/>
        </w:rPr>
      </w:pPr>
      <w:r>
        <w:rPr>
          <w:rFonts w:ascii="Arial" w:cs="Arial" w:eastAsia="Arial" w:hAnsi="Arial"/>
          <w:sz w:val="16"/>
          <w:szCs w:val="16"/>
          <w:color w:val="auto"/>
        </w:rPr>
        <w:t>Achieved $2.8B in transformational cost savings for 2019, and $3.3B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-6985</wp:posOffset>
            </wp:positionV>
            <wp:extent cx="951230" cy="23780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000000"/>
                        </a:clrFrom>
                        <a:clrTo>
                          <a:srgbClr val="000000">
                            <a:alpha val="0"/>
                          </a:srgbClr>
                        </a:clrTo>
                      </a:clrChange>
                      <a:extLst>
                        <a:ext uri="{28A0092B-C50C-407E-A947-70E740481C1C}"/>
                      </a:extLst>
                    </a:blip>
                    <a:srcRect/>
                    <a:stretch>
                      <a:fillRect/>
                    </a:stretch>
                  </pic:blipFill>
                  <pic:spPr bwMode="auto">
                    <a:xfrm>
                      <a:off x="0" y="0"/>
                      <a:ext cx="951230" cy="237807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-6985</wp:posOffset>
            </wp:positionV>
            <wp:extent cx="951230" cy="23780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951230" cy="237807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52"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Compensation Committee made the following pay decisions considering feedback from their independent compensation consultant and management:</w:t>
      </w:r>
    </w:p>
    <w:p>
      <w:pPr>
        <w:spacing w:after="0" w:line="89"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Base Salary </w:t>
      </w:r>
      <w:r>
        <w:rPr>
          <w:rFonts w:ascii="Arial" w:cs="Arial" w:eastAsia="Arial" w:hAnsi="Arial"/>
          <w:sz w:val="20"/>
          <w:szCs w:val="20"/>
          <w:color w:val="000000"/>
        </w:rPr>
        <w:t>– Effective January 1, 2019, increased base salary from $900,000 to</w:t>
      </w:r>
      <w:r>
        <w:rPr>
          <w:rFonts w:ascii="Arial" w:cs="Arial" w:eastAsia="Arial" w:hAnsi="Arial"/>
          <w:sz w:val="20"/>
          <w:szCs w:val="20"/>
          <w:b w:val="1"/>
          <w:bCs w:val="1"/>
          <w:color w:val="0033A0"/>
        </w:rPr>
        <w:t xml:space="preserve"> </w:t>
      </w:r>
      <w:r>
        <w:rPr>
          <w:rFonts w:ascii="Arial" w:cs="Arial" w:eastAsia="Arial" w:hAnsi="Arial"/>
          <w:sz w:val="20"/>
          <w:szCs w:val="20"/>
          <w:color w:val="000000"/>
        </w:rPr>
        <w:t>$1,000,000 based on competitive market analysis.</w:t>
      </w:r>
    </w:p>
    <w:p>
      <w:pPr>
        <w:spacing w:after="0" w:line="8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Annual Incentive </w:t>
      </w:r>
      <w:r>
        <w:rPr>
          <w:rFonts w:ascii="Arial" w:cs="Arial" w:eastAsia="Arial" w:hAnsi="Arial"/>
          <w:sz w:val="20"/>
          <w:szCs w:val="20"/>
          <w:color w:val="000000"/>
        </w:rPr>
        <w:t>– Awarded 38 points based on results to strategic goals,</w:t>
      </w:r>
      <w:r>
        <w:rPr>
          <w:rFonts w:ascii="Arial" w:cs="Arial" w:eastAsia="Arial" w:hAnsi="Arial"/>
          <w:sz w:val="20"/>
          <w:szCs w:val="20"/>
          <w:b w:val="1"/>
          <w:bCs w:val="1"/>
          <w:color w:val="0033A0"/>
        </w:rPr>
        <w:t xml:space="preserve"> </w:t>
      </w:r>
      <w:r>
        <w:rPr>
          <w:rFonts w:ascii="Arial" w:cs="Arial" w:eastAsia="Arial" w:hAnsi="Arial"/>
          <w:sz w:val="20"/>
          <w:szCs w:val="20"/>
          <w:color w:val="000000"/>
        </w:rPr>
        <w:t>highlighted above, for the 2019 STIP performance year.</w:t>
      </w:r>
    </w:p>
    <w:p>
      <w:pPr>
        <w:spacing w:after="0" w:line="8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Long-Term Incentive </w:t>
      </w:r>
      <w:r>
        <w:rPr>
          <w:rFonts w:ascii="Arial" w:cs="Arial" w:eastAsia="Arial" w:hAnsi="Arial"/>
          <w:sz w:val="20"/>
          <w:szCs w:val="20"/>
          <w:color w:val="000000"/>
        </w:rPr>
        <w:t>– In February 2019, awarded an annual LTIP grant of $4.25</w:t>
      </w:r>
      <w:r>
        <w:rPr>
          <w:rFonts w:ascii="Arial" w:cs="Arial" w:eastAsia="Arial" w:hAnsi="Arial"/>
          <w:sz w:val="20"/>
          <w:szCs w:val="20"/>
          <w:b w:val="1"/>
          <w:bCs w:val="1"/>
          <w:color w:val="0033A0"/>
        </w:rPr>
        <w:t xml:space="preserve"> </w:t>
      </w:r>
      <w:r>
        <w:rPr>
          <w:rFonts w:ascii="Arial" w:cs="Arial" w:eastAsia="Arial" w:hAnsi="Arial"/>
          <w:sz w:val="20"/>
          <w:szCs w:val="20"/>
          <w:color w:val="000000"/>
        </w:rPr>
        <w:t>million, consisting of 75% PSUs and 25% Stock Options.</w:t>
      </w:r>
    </w:p>
    <w:p>
      <w:pPr>
        <w:spacing w:after="0" w:line="99" w:lineRule="exact"/>
        <w:rPr>
          <w:sz w:val="20"/>
          <w:szCs w:val="20"/>
          <w:color w:val="auto"/>
        </w:rPr>
      </w:pPr>
    </w:p>
    <w:p>
      <w:pPr>
        <w:ind w:left="160" w:right="140"/>
        <w:spacing w:after="0" w:line="234" w:lineRule="auto"/>
        <w:rPr>
          <w:sz w:val="20"/>
          <w:szCs w:val="20"/>
          <w:color w:val="auto"/>
        </w:rPr>
      </w:pPr>
      <w:r>
        <w:rPr>
          <w:rFonts w:ascii="Arial" w:cs="Arial" w:eastAsia="Arial" w:hAnsi="Arial"/>
          <w:sz w:val="20"/>
          <w:szCs w:val="20"/>
          <w:color w:val="auto"/>
        </w:rPr>
        <w:t>Total compensation for Ms. Suryadevara in 2019, including salary, STIP, and LTIP awards,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60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780" w:type="dxa"/>
            <w:vAlign w:val="bottom"/>
            <w:tcBorders>
              <w:top w:val="single" w:sz="8" w:color="00A1DF"/>
            </w:tcBorders>
          </w:tcPr>
          <w:p>
            <w:pPr>
              <w:ind w:left="320"/>
              <w:spacing w:after="0"/>
              <w:rPr>
                <w:sz w:val="20"/>
                <w:szCs w:val="20"/>
                <w:color w:val="auto"/>
              </w:rPr>
            </w:pPr>
            <w:r>
              <w:rPr>
                <w:rFonts w:ascii="Arial" w:cs="Arial" w:eastAsia="Arial" w:hAnsi="Arial"/>
                <w:sz w:val="16"/>
                <w:szCs w:val="16"/>
                <w:b w:val="1"/>
                <w:bCs w:val="1"/>
                <w:color w:val="00A1DF"/>
              </w:rPr>
              <w:t>Majority of Pay Is At-Risk</w:t>
            </w:r>
          </w:p>
        </w:tc>
        <w:tc>
          <w:tcPr>
            <w:tcW w:w="182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600" w:type="dxa"/>
            <w:vAlign w:val="bottom"/>
            <w:tcBorders>
              <w:bottom w:val="single" w:sz="8" w:color="00A1DF"/>
            </w:tcBorders>
          </w:tcPr>
          <w:p>
            <w:pPr>
              <w:spacing w:after="0"/>
              <w:rPr>
                <w:sz w:val="5"/>
                <w:szCs w:val="5"/>
                <w:color w:val="auto"/>
              </w:rPr>
            </w:pPr>
          </w:p>
        </w:tc>
        <w:tc>
          <w:tcPr>
            <w:tcW w:w="3780" w:type="dxa"/>
            <w:vAlign w:val="bottom"/>
            <w:tcBorders>
              <w:bottom w:val="single" w:sz="8" w:color="00A1DF"/>
            </w:tcBorders>
          </w:tcPr>
          <w:p>
            <w:pPr>
              <w:spacing w:after="0"/>
              <w:rPr>
                <w:sz w:val="5"/>
                <w:szCs w:val="5"/>
                <w:color w:val="auto"/>
              </w:rPr>
            </w:pPr>
          </w:p>
        </w:tc>
        <w:tc>
          <w:tcPr>
            <w:tcW w:w="1820" w:type="dxa"/>
            <w:vAlign w:val="bottom"/>
            <w:tcBorders>
              <w:bottom w:val="single" w:sz="8" w:color="00A1DF"/>
            </w:tcBorders>
          </w:tcPr>
          <w:p>
            <w:pPr>
              <w:spacing w:after="0"/>
              <w:rPr>
                <w:sz w:val="5"/>
                <w:szCs w:val="5"/>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780" w:type="dxa"/>
            <w:vAlign w:val="bottom"/>
          </w:tcPr>
          <w:p>
            <w:pPr>
              <w:ind w:left="320"/>
              <w:spacing w:after="0"/>
              <w:rPr>
                <w:sz w:val="20"/>
                <w:szCs w:val="20"/>
                <w:color w:val="auto"/>
              </w:rPr>
            </w:pPr>
            <w:r>
              <w:rPr>
                <w:rFonts w:ascii="Arial" w:cs="Arial" w:eastAsia="Arial" w:hAnsi="Arial"/>
                <w:sz w:val="16"/>
                <w:szCs w:val="16"/>
                <w:color w:val="auto"/>
              </w:rPr>
              <w:t>Only Fixed Pay Element</w:t>
            </w:r>
          </w:p>
        </w:tc>
        <w:tc>
          <w:tcPr>
            <w:tcW w:w="182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72"/>
        </w:trPr>
        <w:tc>
          <w:tcPr>
            <w:tcW w:w="160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STIP</w:t>
            </w:r>
          </w:p>
        </w:tc>
        <w:tc>
          <w:tcPr>
            <w:tcW w:w="3780" w:type="dxa"/>
            <w:vAlign w:val="bottom"/>
          </w:tcPr>
          <w:p>
            <w:pPr>
              <w:ind w:left="320"/>
              <w:spacing w:after="0"/>
              <w:rPr>
                <w:sz w:val="20"/>
                <w:szCs w:val="20"/>
                <w:color w:val="auto"/>
              </w:rPr>
            </w:pPr>
            <w:r>
              <w:rPr>
                <w:rFonts w:ascii="Arial" w:cs="Arial" w:eastAsia="Arial" w:hAnsi="Arial"/>
                <w:sz w:val="16"/>
                <w:szCs w:val="16"/>
                <w:color w:val="auto"/>
              </w:rPr>
              <w:t>Performance to Metrics</w:t>
            </w:r>
          </w:p>
        </w:tc>
        <w:tc>
          <w:tcPr>
            <w:tcW w:w="1820" w:type="dxa"/>
            <w:vAlign w:val="bottom"/>
          </w:tcPr>
          <w:p>
            <w:pPr>
              <w:jc w:val="right"/>
              <w:spacing w:after="0"/>
              <w:rPr>
                <w:sz w:val="20"/>
                <w:szCs w:val="20"/>
                <w:color w:val="auto"/>
              </w:rPr>
            </w:pPr>
            <w:r>
              <w:rPr>
                <w:rFonts w:ascii="Arial" w:cs="Arial" w:eastAsia="Arial" w:hAnsi="Arial"/>
                <w:sz w:val="16"/>
                <w:szCs w:val="16"/>
                <w:color w:val="auto"/>
              </w:rPr>
              <w:t>$875,000</w:t>
            </w:r>
          </w:p>
        </w:tc>
      </w:tr>
      <w:tr>
        <w:trPr>
          <w:trHeight w:val="72"/>
        </w:trPr>
        <w:tc>
          <w:tcPr>
            <w:tcW w:w="160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7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Performance to Metrics and Stock Price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$3,659,772</w:t>
            </w: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7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Performance to Stock Price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$1,062,503</w:t>
            </w: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7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033A0"/>
              </w:rPr>
              <w:t>$6,597,275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hanging="273"/>
        <w:spacing w:after="0" w:line="246" w:lineRule="auto"/>
        <w:tabs>
          <w:tab w:leader="none" w:pos="4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1823" w:lineRule="exact"/>
        <w:rPr>
          <w:sz w:val="20"/>
          <w:szCs w:val="20"/>
          <w:color w:val="auto"/>
        </w:rPr>
      </w:pPr>
    </w:p>
    <w:p>
      <w:pPr>
        <w:sectPr>
          <w:pgSz w:w="11900" w:h="16838" w:orient="portrait"/>
          <w:cols w:equalWidth="0" w:num="2">
            <w:col w:w="7360" w:space="340"/>
            <w:col w:w="340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700"/>
        <w:spacing w:after="0"/>
        <w:rPr>
          <w:sz w:val="20"/>
          <w:szCs w:val="20"/>
          <w:color w:val="auto"/>
        </w:rPr>
      </w:pPr>
      <w:r>
        <w:rPr>
          <w:sz w:val="1"/>
          <w:szCs w:val="1"/>
          <w:color w:val="auto"/>
        </w:rPr>
        <w:drawing>
          <wp:inline distT="0" distB="0" distL="0" distR="0">
            <wp:extent cx="76200" cy="762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8"/>
          <w:szCs w:val="18"/>
          <w:i w:val="1"/>
          <w:iCs w:val="1"/>
          <w:color w:val="auto"/>
        </w:rPr>
        <w:t xml:space="preserve"> Represents ESG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793865" cy="1016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53</w:t>
      </w:r>
    </w:p>
    <w:p>
      <w:pPr>
        <w:sectPr>
          <w:pgSz w:w="11900" w:h="16838" w:orient="portrait"/>
          <w:cols w:equalWidth="0" w:num="1">
            <w:col w:w="11100"/>
          </w:cols>
          <w:pgMar w:left="320" w:top="456" w:right="47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68" w:lineRule="exact"/>
        <w:rPr>
          <w:sz w:val="20"/>
          <w:szCs w:val="20"/>
          <w:color w:val="auto"/>
        </w:rPr>
      </w:pPr>
    </w:p>
    <w:p>
      <w:pPr>
        <w:ind w:left="600" w:hanging="433"/>
        <w:spacing w:after="0"/>
        <w:tabs>
          <w:tab w:leader="none" w:pos="600" w:val="left"/>
        </w:tabs>
        <w:numPr>
          <w:ilvl w:val="0"/>
          <w:numId w:val="80"/>
        </w:numPr>
        <w:rPr>
          <w:rFonts w:ascii="Arial" w:cs="Arial" w:eastAsia="Arial" w:hAnsi="Arial"/>
          <w:sz w:val="25"/>
          <w:szCs w:val="25"/>
          <w:color w:val="0033A0"/>
        </w:rPr>
      </w:pPr>
      <w:r>
        <w:rPr>
          <w:rFonts w:ascii="Arial" w:cs="Arial" w:eastAsia="Arial" w:hAnsi="Arial"/>
          <w:sz w:val="25"/>
          <w:szCs w:val="25"/>
          <w:color w:val="auto"/>
        </w:rPr>
        <w:t>Compensation Decisions for Mark L. Reuss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33A0"/>
        </w:rPr>
        <w:t xml:space="preserve">Mark L. Reuss, </w:t>
      </w:r>
      <w:r>
        <w:rPr>
          <w:rFonts w:ascii="Arial" w:cs="Arial" w:eastAsia="Arial" w:hAnsi="Arial"/>
          <w:sz w:val="20"/>
          <w:szCs w:val="20"/>
          <w:b w:val="1"/>
          <w:bCs w:val="1"/>
          <w:color w:val="000000"/>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68825" cy="32188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68825" cy="321881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2019 performance highlights to strategic goals for Mr. Reuss include: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Culture</w:t>
      </w:r>
    </w:p>
    <w:p>
      <w:pPr>
        <w:spacing w:after="0" w:line="38" w:lineRule="exact"/>
        <w:rPr>
          <w:sz w:val="20"/>
          <w:szCs w:val="20"/>
          <w:color w:val="auto"/>
        </w:rPr>
      </w:pPr>
    </w:p>
    <w:p>
      <w:pPr>
        <w:jc w:val="both"/>
        <w:ind w:left="600" w:right="22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enterprise engagement towards a safety-first culture resulting in zero</w:t>
      </w:r>
      <w:r>
        <w:rPr>
          <w:rFonts w:ascii="Arial" w:cs="Arial" w:eastAsia="Arial" w:hAnsi="Arial"/>
          <w:sz w:val="16"/>
          <w:szCs w:val="16"/>
          <w:color w:val="00A1DF"/>
        </w:rPr>
        <w:t xml:space="preserve"> </w:t>
      </w:r>
      <w:r>
        <w:rPr>
          <w:rFonts w:ascii="Arial" w:cs="Arial" w:eastAsia="Arial" w:hAnsi="Arial"/>
          <w:sz w:val="16"/>
          <w:szCs w:val="16"/>
          <w:color w:val="000000"/>
        </w:rPr>
        <w:t xml:space="preserve">fatalities and reductions in permanently disabling injuries and lost workdays </w:t>
      </w:r>
      <w:r>
        <w:rPr>
          <w:sz w:val="1"/>
          <w:szCs w:val="1"/>
          <w:color w:val="auto"/>
        </w:rPr>
        <w:drawing>
          <wp:inline distT="0" distB="0" distL="0" distR="0">
            <wp:extent cx="76200" cy="762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jc w:val="both"/>
        <w:ind w:left="600" w:right="220" w:hanging="212"/>
        <w:spacing w:after="0" w:line="258"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Expanded Super Cruise compatible highway network in the U.S. and Canada by 70,000</w:t>
      </w:r>
      <w:r>
        <w:rPr>
          <w:rFonts w:ascii="Arial" w:cs="Arial" w:eastAsia="Arial" w:hAnsi="Arial"/>
          <w:sz w:val="16"/>
          <w:szCs w:val="16"/>
          <w:color w:val="00A1DF"/>
        </w:rPr>
        <w:t xml:space="preserve"> </w:t>
      </w:r>
      <w:r>
        <w:rPr>
          <w:rFonts w:ascii="Arial" w:cs="Arial" w:eastAsia="Arial" w:hAnsi="Arial"/>
          <w:sz w:val="16"/>
          <w:szCs w:val="16"/>
          <w:color w:val="000000"/>
        </w:rPr>
        <w:t xml:space="preserve">miles, introduced automatic lane change capabilities, and developed plans to expand the technology to over 20 vehicles, furthering our commitment to zero crashes </w:t>
      </w:r>
      <w:r>
        <w:rPr>
          <w:sz w:val="1"/>
          <w:szCs w:val="1"/>
          <w:color w:val="auto"/>
        </w:rPr>
        <w:drawing>
          <wp:inline distT="0" distB="0" distL="0" distR="0">
            <wp:extent cx="76200" cy="762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Core Operations</w:t>
      </w:r>
    </w:p>
    <w:p>
      <w:pPr>
        <w:spacing w:after="0" w:line="50" w:lineRule="exact"/>
        <w:rPr>
          <w:sz w:val="20"/>
          <w:szCs w:val="20"/>
          <w:color w:val="auto"/>
        </w:rPr>
      </w:pPr>
    </w:p>
    <w:p>
      <w:pPr>
        <w:ind w:left="540" w:hanging="155"/>
        <w:spacing w:after="0"/>
        <w:tabs>
          <w:tab w:leader="none" w:pos="540" w:val="left"/>
        </w:tabs>
        <w:numPr>
          <w:ilvl w:val="0"/>
          <w:numId w:val="81"/>
        </w:numPr>
        <w:rPr>
          <w:rFonts w:ascii="Arial" w:cs="Arial" w:eastAsia="Arial" w:hAnsi="Arial"/>
          <w:sz w:val="16"/>
          <w:szCs w:val="16"/>
          <w:color w:val="00A1DF"/>
        </w:rPr>
      </w:pPr>
      <w:r>
        <w:rPr>
          <w:rFonts w:ascii="Arial" w:cs="Arial" w:eastAsia="Arial" w:hAnsi="Arial"/>
          <w:sz w:val="16"/>
          <w:szCs w:val="16"/>
          <w:color w:val="auto"/>
        </w:rPr>
        <w:t>Maintained U.S. retail sales leadership position and grew volume in key segments</w:t>
      </w:r>
    </w:p>
    <w:p>
      <w:pPr>
        <w:spacing w:after="0" w:line="16" w:lineRule="exact"/>
        <w:rPr>
          <w:rFonts w:ascii="Arial" w:cs="Arial" w:eastAsia="Arial" w:hAnsi="Arial"/>
          <w:sz w:val="16"/>
          <w:szCs w:val="16"/>
          <w:color w:val="00A1DF"/>
        </w:rPr>
      </w:pPr>
    </w:p>
    <w:p>
      <w:pPr>
        <w:ind w:left="540" w:hanging="155"/>
        <w:spacing w:after="0"/>
        <w:tabs>
          <w:tab w:leader="none" w:pos="540" w:val="left"/>
        </w:tabs>
        <w:numPr>
          <w:ilvl w:val="0"/>
          <w:numId w:val="81"/>
        </w:numPr>
        <w:rPr>
          <w:rFonts w:ascii="Arial" w:cs="Arial" w:eastAsia="Arial" w:hAnsi="Arial"/>
          <w:sz w:val="16"/>
          <w:szCs w:val="16"/>
          <w:color w:val="00A1DF"/>
        </w:rPr>
      </w:pPr>
      <w:r>
        <w:rPr>
          <w:rFonts w:ascii="Arial" w:cs="Arial" w:eastAsia="Arial" w:hAnsi="Arial"/>
          <w:sz w:val="16"/>
          <w:szCs w:val="16"/>
          <w:color w:val="auto"/>
        </w:rPr>
        <w:t>Attained global Cadillac sales record of 390K units in 2019</w:t>
      </w:r>
    </w:p>
    <w:p>
      <w:pPr>
        <w:spacing w:after="0" w:line="16" w:lineRule="exact"/>
        <w:rPr>
          <w:rFonts w:ascii="Arial" w:cs="Arial" w:eastAsia="Arial" w:hAnsi="Arial"/>
          <w:sz w:val="16"/>
          <w:szCs w:val="16"/>
          <w:color w:val="00A1DF"/>
        </w:rPr>
      </w:pPr>
    </w:p>
    <w:p>
      <w:pPr>
        <w:ind w:left="600" w:right="240" w:hanging="215"/>
        <w:spacing w:after="0" w:line="252" w:lineRule="auto"/>
        <w:tabs>
          <w:tab w:leader="none" w:pos="547" w:val="left"/>
        </w:tabs>
        <w:numPr>
          <w:ilvl w:val="0"/>
          <w:numId w:val="81"/>
        </w:numPr>
        <w:rPr>
          <w:rFonts w:ascii="Arial" w:cs="Arial" w:eastAsia="Arial" w:hAnsi="Arial"/>
          <w:sz w:val="16"/>
          <w:szCs w:val="16"/>
          <w:color w:val="00A1DF"/>
        </w:rPr>
      </w:pPr>
      <w:r>
        <w:rPr>
          <w:rFonts w:ascii="Arial" w:cs="Arial" w:eastAsia="Arial" w:hAnsi="Arial"/>
          <w:sz w:val="16"/>
          <w:szCs w:val="16"/>
          <w:color w:val="auto"/>
        </w:rPr>
        <w:t>Introduced industry-first technologies including Power Tailgate and DuraBed in the Chevrolet Silverado and MultiPro Tailgate in the GMC Sierra</w:t>
      </w:r>
    </w:p>
    <w:p>
      <w:pPr>
        <w:spacing w:after="0" w:line="1" w:lineRule="exact"/>
        <w:rPr>
          <w:rFonts w:ascii="Arial" w:cs="Arial" w:eastAsia="Arial" w:hAnsi="Arial"/>
          <w:sz w:val="16"/>
          <w:szCs w:val="16"/>
          <w:color w:val="00A1DF"/>
        </w:rPr>
      </w:pPr>
    </w:p>
    <w:p>
      <w:pPr>
        <w:ind w:left="600" w:right="240" w:hanging="215"/>
        <w:spacing w:after="0" w:line="252" w:lineRule="auto"/>
        <w:tabs>
          <w:tab w:leader="none" w:pos="547" w:val="left"/>
        </w:tabs>
        <w:numPr>
          <w:ilvl w:val="0"/>
          <w:numId w:val="81"/>
        </w:numPr>
        <w:rPr>
          <w:rFonts w:ascii="Arial" w:cs="Arial" w:eastAsia="Arial" w:hAnsi="Arial"/>
          <w:sz w:val="16"/>
          <w:szCs w:val="16"/>
          <w:color w:val="00A1DF"/>
        </w:rPr>
      </w:pPr>
      <w:r>
        <w:rPr>
          <w:rFonts w:ascii="Arial" w:cs="Arial" w:eastAsia="Arial" w:hAnsi="Arial"/>
          <w:sz w:val="16"/>
          <w:szCs w:val="16"/>
          <w:color w:val="auto"/>
        </w:rPr>
        <w:t>Debuted the all new mid-engine Chevrolet Corvette earning 2020 North American Car of the Year and Motor Trend Car of the Year</w:t>
      </w:r>
    </w:p>
    <w:p>
      <w:pPr>
        <w:spacing w:after="0" w:line="1" w:lineRule="exact"/>
        <w:rPr>
          <w:rFonts w:ascii="Arial" w:cs="Arial" w:eastAsia="Arial" w:hAnsi="Arial"/>
          <w:sz w:val="16"/>
          <w:szCs w:val="16"/>
          <w:color w:val="00A1DF"/>
        </w:rPr>
      </w:pPr>
    </w:p>
    <w:p>
      <w:pPr>
        <w:ind w:left="600" w:right="220" w:hanging="215"/>
        <w:spacing w:after="0" w:line="273" w:lineRule="auto"/>
        <w:tabs>
          <w:tab w:leader="none" w:pos="547" w:val="left"/>
        </w:tabs>
        <w:numPr>
          <w:ilvl w:val="0"/>
          <w:numId w:val="81"/>
        </w:numPr>
        <w:rPr>
          <w:rFonts w:ascii="Arial" w:cs="Arial" w:eastAsia="Arial" w:hAnsi="Arial"/>
          <w:sz w:val="16"/>
          <w:szCs w:val="16"/>
          <w:color w:val="00A1DF"/>
        </w:rPr>
      </w:pPr>
      <w:r>
        <w:rPr>
          <w:rFonts w:ascii="Arial" w:cs="Arial" w:eastAsia="Arial" w:hAnsi="Arial"/>
          <w:sz w:val="16"/>
          <w:szCs w:val="16"/>
          <w:color w:val="auto"/>
        </w:rPr>
        <w:t>Continued to position Cadillac as a racing leader, winning the Rolex 24 at Daytona for the fourth year in a row</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Transformation</w:t>
      </w:r>
    </w:p>
    <w:p>
      <w:pPr>
        <w:spacing w:after="0" w:line="38" w:lineRule="exact"/>
        <w:rPr>
          <w:sz w:val="20"/>
          <w:szCs w:val="20"/>
          <w:color w:val="auto"/>
        </w:rPr>
      </w:pPr>
    </w:p>
    <w:p>
      <w:pPr>
        <w:ind w:left="600" w:right="22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Reduced complexities in 2019 by eliminating 12% of parts in plants, with a 2020 goal of</w:t>
      </w:r>
      <w:r>
        <w:rPr>
          <w:rFonts w:ascii="Arial" w:cs="Arial" w:eastAsia="Arial" w:hAnsi="Arial"/>
          <w:sz w:val="16"/>
          <w:szCs w:val="16"/>
          <w:color w:val="00A1DF"/>
        </w:rPr>
        <w:t xml:space="preserve"> </w:t>
      </w:r>
      <w:r>
        <w:rPr>
          <w:rFonts w:ascii="Arial" w:cs="Arial" w:eastAsia="Arial" w:hAnsi="Arial"/>
          <w:sz w:val="16"/>
          <w:szCs w:val="16"/>
          <w:color w:val="000000"/>
        </w:rPr>
        <w:t>eliminating 25% parts in plants</w:t>
      </w:r>
    </w:p>
    <w:p>
      <w:pPr>
        <w:spacing w:after="0" w:line="1" w:lineRule="exact"/>
        <w:rPr>
          <w:sz w:val="20"/>
          <w:szCs w:val="20"/>
          <w:color w:val="auto"/>
        </w:rPr>
      </w:pPr>
    </w:p>
    <w:p>
      <w:pPr>
        <w:jc w:val="both"/>
        <w:ind w:left="600" w:right="220" w:hanging="215"/>
        <w:spacing w:after="0" w:line="250" w:lineRule="auto"/>
        <w:tabs>
          <w:tab w:leader="none" w:pos="547"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 xml:space="preserve">Debuted a new digital vehicle platform on the 2020 Cadillac CT5 sedan, which can manage up to 4.5 terabytes of data processing power per hour, a fivefold increase in capabilities over current electrical architecture </w:t>
      </w:r>
      <w:r>
        <w:rPr>
          <w:rFonts w:ascii="Arial" w:cs="Arial" w:eastAsia="Arial" w:hAnsi="Arial"/>
          <w:sz w:val="1"/>
          <w:szCs w:val="1"/>
          <w:color w:val="00A1DF"/>
        </w:rPr>
        <w:drawing>
          <wp:inline distT="0" distB="0" distL="0" distR="0">
            <wp:extent cx="76200" cy="762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ind w:left="540" w:hanging="155"/>
        <w:spacing w:after="0"/>
        <w:tabs>
          <w:tab w:leader="none" w:pos="54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 xml:space="preserve">Continued to execute global electrification plan through launch of 2020 Bolt EV </w:t>
      </w:r>
      <w:r>
        <w:rPr>
          <w:rFonts w:ascii="Arial" w:cs="Arial" w:eastAsia="Arial" w:hAnsi="Arial"/>
          <w:sz w:val="1"/>
          <w:szCs w:val="1"/>
          <w:color w:val="00A1DF"/>
        </w:rPr>
        <w:drawing>
          <wp:inline distT="0" distB="0" distL="0" distR="0">
            <wp:extent cx="76200" cy="762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6" w:lineRule="exact"/>
        <w:rPr>
          <w:rFonts w:ascii="Arial" w:cs="Arial" w:eastAsia="Arial" w:hAnsi="Arial"/>
          <w:sz w:val="16"/>
          <w:szCs w:val="16"/>
          <w:color w:val="00A1DF"/>
        </w:rPr>
      </w:pPr>
    </w:p>
    <w:p>
      <w:pPr>
        <w:ind w:left="540" w:hanging="155"/>
        <w:spacing w:after="0"/>
        <w:tabs>
          <w:tab w:leader="none" w:pos="540" w:val="left"/>
        </w:tabs>
        <w:numPr>
          <w:ilvl w:val="0"/>
          <w:numId w:val="82"/>
        </w:numPr>
        <w:rPr>
          <w:rFonts w:ascii="Arial" w:cs="Arial" w:eastAsia="Arial" w:hAnsi="Arial"/>
          <w:sz w:val="16"/>
          <w:szCs w:val="16"/>
          <w:color w:val="00A1DF"/>
        </w:rPr>
      </w:pPr>
      <w:r>
        <w:rPr>
          <w:rFonts w:ascii="Arial" w:cs="Arial" w:eastAsia="Arial" w:hAnsi="Arial"/>
          <w:sz w:val="16"/>
          <w:szCs w:val="16"/>
          <w:color w:val="auto"/>
        </w:rPr>
        <w:t xml:space="preserve">Announced GMC’s first-ever electric truck, the HUMMER EV </w:t>
      </w:r>
      <w:r>
        <w:rPr>
          <w:rFonts w:ascii="Arial" w:cs="Arial" w:eastAsia="Arial" w:hAnsi="Arial"/>
          <w:sz w:val="1"/>
          <w:szCs w:val="1"/>
          <w:color w:val="00A1DF"/>
        </w:rPr>
        <w:drawing>
          <wp:inline distT="0" distB="0" distL="0" distR="0">
            <wp:extent cx="76200" cy="762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252"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Compensation Committee made the following pay decisions considering feedback from their independent compensation consultant and management:</w:t>
      </w:r>
    </w:p>
    <w:p>
      <w:pPr>
        <w:spacing w:after="0" w:line="62" w:lineRule="exact"/>
        <w:rPr>
          <w:sz w:val="20"/>
          <w:szCs w:val="20"/>
          <w:color w:val="auto"/>
        </w:rPr>
      </w:pPr>
    </w:p>
    <w:p>
      <w:pPr>
        <w:ind w:left="160" w:right="580"/>
        <w:spacing w:after="0" w:line="254" w:lineRule="auto"/>
        <w:rPr>
          <w:sz w:val="20"/>
          <w:szCs w:val="20"/>
          <w:color w:val="auto"/>
        </w:rPr>
      </w:pPr>
      <w:r>
        <w:rPr>
          <w:rFonts w:ascii="Arial" w:cs="Arial" w:eastAsia="Arial" w:hAnsi="Arial"/>
          <w:sz w:val="20"/>
          <w:szCs w:val="20"/>
          <w:b w:val="1"/>
          <w:bCs w:val="1"/>
          <w:color w:val="0033A0"/>
        </w:rPr>
        <w:t xml:space="preserve">Base Salary </w:t>
      </w:r>
      <w:r>
        <w:rPr>
          <w:rFonts w:ascii="Arial" w:cs="Arial" w:eastAsia="Arial" w:hAnsi="Arial"/>
          <w:sz w:val="20"/>
          <w:szCs w:val="20"/>
          <w:color w:val="000000"/>
        </w:rPr>
        <w:t>– Held base salary at $1,200,000 based on competitive market</w:t>
      </w:r>
      <w:r>
        <w:rPr>
          <w:rFonts w:ascii="Arial" w:cs="Arial" w:eastAsia="Arial" w:hAnsi="Arial"/>
          <w:sz w:val="20"/>
          <w:szCs w:val="20"/>
          <w:b w:val="1"/>
          <w:bCs w:val="1"/>
          <w:color w:val="0033A0"/>
        </w:rPr>
        <w:t xml:space="preserve"> </w:t>
      </w:r>
      <w:r>
        <w:rPr>
          <w:rFonts w:ascii="Arial" w:cs="Arial" w:eastAsia="Arial" w:hAnsi="Arial"/>
          <w:sz w:val="20"/>
          <w:szCs w:val="20"/>
          <w:color w:val="000000"/>
        </w:rPr>
        <w:t>analysis.</w:t>
      </w:r>
    </w:p>
    <w:p>
      <w:pPr>
        <w:spacing w:after="0" w:line="4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Annual Incentive </w:t>
      </w:r>
      <w:r>
        <w:rPr>
          <w:rFonts w:ascii="Arial" w:cs="Arial" w:eastAsia="Arial" w:hAnsi="Arial"/>
          <w:sz w:val="20"/>
          <w:szCs w:val="20"/>
          <w:color w:val="000000"/>
        </w:rPr>
        <w:t>– Awarded 38 points based on results to strategic goals,</w:t>
      </w:r>
      <w:r>
        <w:rPr>
          <w:rFonts w:ascii="Arial" w:cs="Arial" w:eastAsia="Arial" w:hAnsi="Arial"/>
          <w:sz w:val="20"/>
          <w:szCs w:val="20"/>
          <w:b w:val="1"/>
          <w:bCs w:val="1"/>
          <w:color w:val="0033A0"/>
        </w:rPr>
        <w:t xml:space="preserve"> </w:t>
      </w:r>
      <w:r>
        <w:rPr>
          <w:rFonts w:ascii="Arial" w:cs="Arial" w:eastAsia="Arial" w:hAnsi="Arial"/>
          <w:sz w:val="20"/>
          <w:szCs w:val="20"/>
          <w:color w:val="000000"/>
        </w:rPr>
        <w:t>highlighted above, for the 2019 STIP performance year.</w:t>
      </w:r>
    </w:p>
    <w:p>
      <w:pPr>
        <w:spacing w:after="0" w:line="4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Long-Term Incentive </w:t>
      </w:r>
      <w:r>
        <w:rPr>
          <w:rFonts w:ascii="Arial" w:cs="Arial" w:eastAsia="Arial" w:hAnsi="Arial"/>
          <w:sz w:val="20"/>
          <w:szCs w:val="20"/>
          <w:color w:val="000000"/>
        </w:rPr>
        <w:t>– In February 2019, awarded an annual LTIP grant of $4.8</w:t>
      </w:r>
      <w:r>
        <w:rPr>
          <w:rFonts w:ascii="Arial" w:cs="Arial" w:eastAsia="Arial" w:hAnsi="Arial"/>
          <w:sz w:val="20"/>
          <w:szCs w:val="20"/>
          <w:b w:val="1"/>
          <w:bCs w:val="1"/>
          <w:color w:val="0033A0"/>
        </w:rPr>
        <w:t xml:space="preserve"> </w:t>
      </w:r>
      <w:r>
        <w:rPr>
          <w:rFonts w:ascii="Arial" w:cs="Arial" w:eastAsia="Arial" w:hAnsi="Arial"/>
          <w:sz w:val="20"/>
          <w:szCs w:val="20"/>
          <w:color w:val="000000"/>
        </w:rPr>
        <w:t>million, consisting of 75% PSUs and 25% Stock Options.</w:t>
      </w:r>
    </w:p>
    <w:p>
      <w:pPr>
        <w:spacing w:after="0" w:line="72"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Total compensation for Mr. Reuss in 2019, including salary, STIP, and LTIP awards,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60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800" w:type="dxa"/>
            <w:vAlign w:val="bottom"/>
            <w:tcBorders>
              <w:top w:val="single" w:sz="8" w:color="00A1DF"/>
            </w:tcBorders>
          </w:tcPr>
          <w:p>
            <w:pPr>
              <w:ind w:left="360"/>
              <w:spacing w:after="0"/>
              <w:rPr>
                <w:sz w:val="20"/>
                <w:szCs w:val="20"/>
                <w:color w:val="auto"/>
              </w:rPr>
            </w:pPr>
            <w:r>
              <w:rPr>
                <w:rFonts w:ascii="Arial" w:cs="Arial" w:eastAsia="Arial" w:hAnsi="Arial"/>
                <w:sz w:val="16"/>
                <w:szCs w:val="16"/>
                <w:b w:val="1"/>
                <w:bCs w:val="1"/>
                <w:color w:val="00A1DF"/>
              </w:rPr>
              <w:t>Majority of Pay Is At-Risk</w:t>
            </w:r>
          </w:p>
        </w:tc>
        <w:tc>
          <w:tcPr>
            <w:tcW w:w="180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600" w:type="dxa"/>
            <w:vAlign w:val="bottom"/>
            <w:tcBorders>
              <w:bottom w:val="single" w:sz="8" w:color="00A1DF"/>
            </w:tcBorders>
          </w:tcPr>
          <w:p>
            <w:pPr>
              <w:spacing w:after="0"/>
              <w:rPr>
                <w:sz w:val="5"/>
                <w:szCs w:val="5"/>
                <w:color w:val="auto"/>
              </w:rPr>
            </w:pPr>
          </w:p>
        </w:tc>
        <w:tc>
          <w:tcPr>
            <w:tcW w:w="3800" w:type="dxa"/>
            <w:vAlign w:val="bottom"/>
            <w:tcBorders>
              <w:bottom w:val="single" w:sz="8" w:color="00A1DF"/>
            </w:tcBorders>
          </w:tcPr>
          <w:p>
            <w:pPr>
              <w:spacing w:after="0"/>
              <w:rPr>
                <w:sz w:val="5"/>
                <w:szCs w:val="5"/>
                <w:color w:val="auto"/>
              </w:rPr>
            </w:pPr>
          </w:p>
        </w:tc>
        <w:tc>
          <w:tcPr>
            <w:tcW w:w="1800" w:type="dxa"/>
            <w:vAlign w:val="bottom"/>
            <w:tcBorders>
              <w:bottom w:val="single" w:sz="8" w:color="00A1DF"/>
            </w:tcBorders>
          </w:tcPr>
          <w:p>
            <w:pPr>
              <w:spacing w:after="0"/>
              <w:rPr>
                <w:sz w:val="5"/>
                <w:szCs w:val="5"/>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800" w:type="dxa"/>
            <w:vAlign w:val="bottom"/>
          </w:tcPr>
          <w:p>
            <w:pPr>
              <w:ind w:left="360"/>
              <w:spacing w:after="0"/>
              <w:rPr>
                <w:sz w:val="20"/>
                <w:szCs w:val="20"/>
                <w:color w:val="auto"/>
              </w:rPr>
            </w:pPr>
            <w:r>
              <w:rPr>
                <w:rFonts w:ascii="Arial" w:cs="Arial" w:eastAsia="Arial" w:hAnsi="Arial"/>
                <w:sz w:val="16"/>
                <w:szCs w:val="16"/>
                <w:color w:val="auto"/>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auto"/>
              </w:rPr>
              <w:t>$1,200,000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STIP</w:t>
            </w:r>
          </w:p>
        </w:tc>
        <w:tc>
          <w:tcPr>
            <w:tcW w:w="3800" w:type="dxa"/>
            <w:vAlign w:val="bottom"/>
          </w:tcPr>
          <w:p>
            <w:pPr>
              <w:ind w:left="360"/>
              <w:spacing w:after="0"/>
              <w:rPr>
                <w:sz w:val="20"/>
                <w:szCs w:val="20"/>
                <w:color w:val="auto"/>
              </w:rPr>
            </w:pPr>
            <w:r>
              <w:rPr>
                <w:rFonts w:ascii="Arial" w:cs="Arial" w:eastAsia="Arial" w:hAnsi="Arial"/>
                <w:sz w:val="16"/>
                <w:szCs w:val="16"/>
                <w:color w:val="auto"/>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auto"/>
              </w:rPr>
              <w:t>$1,050,000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Metrics and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$4,133,385</w:t>
            </w: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$1,200,000</w:t>
            </w: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8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33A0"/>
              </w:rPr>
              <w:t>$7,583,385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hanging="273"/>
        <w:spacing w:after="0" w:line="246" w:lineRule="auto"/>
        <w:tabs>
          <w:tab w:leader="none" w:pos="44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-5128260</wp:posOffset>
            </wp:positionV>
            <wp:extent cx="1605280" cy="47390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05280" cy="4739005"/>
                    </a:xfrm>
                    <a:prstGeom prst="rect">
                      <a:avLst/>
                    </a:prstGeom>
                    <a:noFill/>
                  </pic:spPr>
                </pic:pic>
              </a:graphicData>
            </a:graphic>
          </wp:anchor>
        </w:drawing>
      </w:r>
    </w:p>
    <w:p>
      <w:pPr>
        <w:spacing w:after="0" w:line="3121" w:lineRule="exact"/>
        <w:rPr>
          <w:sz w:val="20"/>
          <w:szCs w:val="20"/>
          <w:color w:val="auto"/>
        </w:rPr>
      </w:pPr>
    </w:p>
    <w:p>
      <w:pPr>
        <w:sectPr>
          <w:pgSz w:w="11900" w:h="16838" w:orient="portrait"/>
          <w:cols w:equalWidth="0" w:num="2">
            <w:col w:w="7360" w:space="340"/>
            <w:col w:w="3380"/>
          </w:cols>
          <w:pgMar w:left="320" w:top="456" w:right="49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7700"/>
        <w:spacing w:after="0"/>
        <w:rPr>
          <w:sz w:val="20"/>
          <w:szCs w:val="20"/>
          <w:color w:val="auto"/>
        </w:rPr>
      </w:pPr>
      <w:r>
        <w:rPr>
          <w:sz w:val="1"/>
          <w:szCs w:val="1"/>
          <w:color w:val="auto"/>
        </w:rPr>
        <w:drawing>
          <wp:inline distT="0" distB="0" distL="0" distR="0">
            <wp:extent cx="76200" cy="7620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r>
        <w:rPr>
          <w:rFonts w:ascii="Arial" w:cs="Arial" w:eastAsia="Arial" w:hAnsi="Arial"/>
          <w:sz w:val="17"/>
          <w:szCs w:val="17"/>
          <w:i w:val="1"/>
          <w:iCs w:val="1"/>
          <w:color w:val="auto"/>
        </w:rPr>
        <w:t xml:space="preserve"> Represents ESG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201930</wp:posOffset>
            </wp:positionV>
            <wp:extent cx="6793865" cy="1016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54</w:t>
      </w:r>
    </w:p>
    <w:p>
      <w:pPr>
        <w:sectPr>
          <w:pgSz w:w="11900" w:h="16838" w:orient="portrait"/>
          <w:cols w:equalWidth="0" w:num="1">
            <w:col w:w="11080"/>
          </w:cols>
          <w:pgMar w:left="320" w:top="456" w:right="4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68" w:lineRule="exact"/>
        <w:rPr>
          <w:sz w:val="20"/>
          <w:szCs w:val="20"/>
          <w:color w:val="auto"/>
        </w:rPr>
      </w:pPr>
    </w:p>
    <w:p>
      <w:pPr>
        <w:ind w:left="600" w:hanging="433"/>
        <w:spacing w:after="0"/>
        <w:tabs>
          <w:tab w:leader="none" w:pos="600" w:val="left"/>
        </w:tabs>
        <w:numPr>
          <w:ilvl w:val="0"/>
          <w:numId w:val="84"/>
        </w:numPr>
        <w:rPr>
          <w:rFonts w:ascii="Arial" w:cs="Arial" w:eastAsia="Arial" w:hAnsi="Arial"/>
          <w:sz w:val="25"/>
          <w:szCs w:val="25"/>
          <w:color w:val="0033A0"/>
        </w:rPr>
      </w:pPr>
      <w:r>
        <w:rPr>
          <w:rFonts w:ascii="Arial" w:cs="Arial" w:eastAsia="Arial" w:hAnsi="Arial"/>
          <w:sz w:val="25"/>
          <w:szCs w:val="25"/>
          <w:color w:val="auto"/>
        </w:rPr>
        <w:t>Compensation Decisions for Barry L. Engle II</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33A0"/>
        </w:rPr>
        <w:t xml:space="preserve">Barry L. Engle II, </w:t>
      </w:r>
      <w:r>
        <w:rPr>
          <w:rFonts w:ascii="Arial" w:cs="Arial" w:eastAsia="Arial" w:hAnsi="Arial"/>
          <w:sz w:val="20"/>
          <w:szCs w:val="20"/>
          <w:b w:val="1"/>
          <w:bCs w:val="1"/>
          <w:color w:val="000000"/>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58420</wp:posOffset>
            </wp:positionV>
            <wp:extent cx="4568825" cy="31165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568825" cy="3116580"/>
                    </a:xfrm>
                    <a:prstGeom prst="rect">
                      <a:avLst/>
                    </a:prstGeom>
                    <a:noFill/>
                  </pic:spPr>
                </pic:pic>
              </a:graphicData>
            </a:graphic>
          </wp:anchor>
        </w:drawing>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2019 performance highlights to strategic goals for Mr. Engle include: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Culture</w:t>
      </w:r>
    </w:p>
    <w:p>
      <w:pPr>
        <w:spacing w:after="0" w:line="38" w:lineRule="exact"/>
        <w:rPr>
          <w:sz w:val="20"/>
          <w:szCs w:val="20"/>
          <w:color w:val="auto"/>
        </w:rPr>
      </w:pPr>
    </w:p>
    <w:p>
      <w:pPr>
        <w:ind w:left="620" w:right="24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enterprise engagement towards a safety-first culture resulting in zero</w:t>
      </w:r>
      <w:r>
        <w:rPr>
          <w:rFonts w:ascii="Arial" w:cs="Arial" w:eastAsia="Arial" w:hAnsi="Arial"/>
          <w:sz w:val="16"/>
          <w:szCs w:val="16"/>
          <w:color w:val="00A1DF"/>
        </w:rPr>
        <w:t xml:space="preserve"> </w:t>
      </w:r>
      <w:r>
        <w:rPr>
          <w:rFonts w:ascii="Arial" w:cs="Arial" w:eastAsia="Arial" w:hAnsi="Arial"/>
          <w:sz w:val="16"/>
          <w:szCs w:val="16"/>
          <w:color w:val="000000"/>
        </w:rPr>
        <w:t xml:space="preserve">fatalities and reductions in permanently disabling injuries and lost workdays </w:t>
      </w:r>
      <w:r>
        <w:rPr>
          <w:sz w:val="1"/>
          <w:szCs w:val="1"/>
          <w:color w:val="auto"/>
        </w:rPr>
        <w:drawing>
          <wp:inline distT="0" distB="0" distL="0" distR="0">
            <wp:extent cx="76200" cy="7620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ind w:left="620" w:right="240" w:hanging="212"/>
        <w:spacing w:after="0" w:line="27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Recognized a GM employee or team each quarter with the Mark of Customer Excellence</w:t>
      </w:r>
      <w:r>
        <w:rPr>
          <w:rFonts w:ascii="Arial" w:cs="Arial" w:eastAsia="Arial" w:hAnsi="Arial"/>
          <w:sz w:val="16"/>
          <w:szCs w:val="16"/>
          <w:color w:val="00A1DF"/>
        </w:rPr>
        <w:t xml:space="preserve"> </w:t>
      </w:r>
      <w:r>
        <w:rPr>
          <w:rFonts w:ascii="Arial" w:cs="Arial" w:eastAsia="Arial" w:hAnsi="Arial"/>
          <w:sz w:val="16"/>
          <w:szCs w:val="16"/>
          <w:color w:val="000000"/>
        </w:rPr>
        <w:t>award, reinforcing our value of putting the customer at the center of everything we do</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Core Operations</w:t>
      </w:r>
    </w:p>
    <w:p>
      <w:pPr>
        <w:spacing w:after="0" w:line="50" w:lineRule="exact"/>
        <w:rPr>
          <w:sz w:val="20"/>
          <w:szCs w:val="20"/>
          <w:color w:val="auto"/>
        </w:rPr>
      </w:pPr>
    </w:p>
    <w:p>
      <w:pPr>
        <w:ind w:left="560" w:hanging="162"/>
        <w:spacing w:after="0"/>
        <w:tabs>
          <w:tab w:leader="none" w:pos="5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Sold more than 1 million crossovers for the second year in a row in the U.S.</w:t>
      </w:r>
    </w:p>
    <w:p>
      <w:pPr>
        <w:spacing w:after="0" w:line="16" w:lineRule="exact"/>
        <w:rPr>
          <w:rFonts w:ascii="Arial" w:cs="Arial" w:eastAsia="Arial" w:hAnsi="Arial"/>
          <w:sz w:val="16"/>
          <w:szCs w:val="16"/>
          <w:color w:val="00A1DF"/>
        </w:rPr>
      </w:pPr>
    </w:p>
    <w:p>
      <w:pPr>
        <w:ind w:left="560" w:hanging="162"/>
        <w:spacing w:after="0"/>
        <w:tabs>
          <w:tab w:leader="none" w:pos="5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Achieved record average transaction prices of $36,844 in the U.S.</w:t>
      </w:r>
    </w:p>
    <w:p>
      <w:pPr>
        <w:spacing w:after="0" w:line="16" w:lineRule="exact"/>
        <w:rPr>
          <w:rFonts w:ascii="Arial" w:cs="Arial" w:eastAsia="Arial" w:hAnsi="Arial"/>
          <w:sz w:val="16"/>
          <w:szCs w:val="16"/>
          <w:color w:val="00A1DF"/>
        </w:rPr>
      </w:pPr>
    </w:p>
    <w:p>
      <w:pPr>
        <w:ind w:left="620" w:right="240" w:hanging="222"/>
        <w:spacing w:after="0" w:line="252" w:lineRule="auto"/>
        <w:tabs>
          <w:tab w:leader="none" w:pos="558"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Achieved higher average transaction prices for full-size trucks in the U.S. as compared to the industry average for 2019, through a disciplined pricing strategy</w:t>
      </w:r>
    </w:p>
    <w:p>
      <w:pPr>
        <w:spacing w:after="0" w:line="1" w:lineRule="exact"/>
        <w:rPr>
          <w:rFonts w:ascii="Arial" w:cs="Arial" w:eastAsia="Arial" w:hAnsi="Arial"/>
          <w:sz w:val="16"/>
          <w:szCs w:val="16"/>
          <w:color w:val="00A1DF"/>
        </w:rPr>
      </w:pPr>
    </w:p>
    <w:p>
      <w:pPr>
        <w:ind w:left="560" w:hanging="162"/>
        <w:spacing w:after="0"/>
        <w:tabs>
          <w:tab w:leader="none" w:pos="5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Maintained U.S. retail sales leadership position and grew volume in key segments</w:t>
      </w:r>
    </w:p>
    <w:p>
      <w:pPr>
        <w:spacing w:after="0" w:line="16" w:lineRule="exact"/>
        <w:rPr>
          <w:rFonts w:ascii="Arial" w:cs="Arial" w:eastAsia="Arial" w:hAnsi="Arial"/>
          <w:sz w:val="16"/>
          <w:szCs w:val="16"/>
          <w:color w:val="00A1DF"/>
        </w:rPr>
      </w:pPr>
    </w:p>
    <w:p>
      <w:pPr>
        <w:ind w:left="560" w:hanging="162"/>
        <w:spacing w:after="0"/>
        <w:tabs>
          <w:tab w:leader="none" w:pos="560"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Increased heavy-duty crew cab sales year-over-year in the U.S.</w:t>
      </w:r>
    </w:p>
    <w:p>
      <w:pPr>
        <w:spacing w:after="0" w:line="16" w:lineRule="exact"/>
        <w:rPr>
          <w:rFonts w:ascii="Arial" w:cs="Arial" w:eastAsia="Arial" w:hAnsi="Arial"/>
          <w:sz w:val="16"/>
          <w:szCs w:val="16"/>
          <w:color w:val="00A1DF"/>
        </w:rPr>
      </w:pPr>
    </w:p>
    <w:p>
      <w:pPr>
        <w:ind w:left="620" w:right="240" w:hanging="222"/>
        <w:spacing w:after="0" w:line="252" w:lineRule="auto"/>
        <w:tabs>
          <w:tab w:leader="none" w:pos="558"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Announced availability of AT4 across the entire GMC lineup, including the first-ever 2021 Terrain AT4, Canyon AT4, and 2021 Yukon AT4</w:t>
      </w:r>
    </w:p>
    <w:p>
      <w:pPr>
        <w:spacing w:after="0" w:line="1" w:lineRule="exact"/>
        <w:rPr>
          <w:rFonts w:ascii="Arial" w:cs="Arial" w:eastAsia="Arial" w:hAnsi="Arial"/>
          <w:sz w:val="16"/>
          <w:szCs w:val="16"/>
          <w:color w:val="00A1DF"/>
        </w:rPr>
      </w:pPr>
    </w:p>
    <w:p>
      <w:pPr>
        <w:ind w:left="620" w:right="240" w:hanging="222"/>
        <w:spacing w:after="0" w:line="252" w:lineRule="auto"/>
        <w:tabs>
          <w:tab w:leader="none" w:pos="558"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Accomplished solid performance in GM Canada in 2019, with year-over-year sales growth in crossovers, EVs, and trucks</w:t>
      </w:r>
    </w:p>
    <w:p>
      <w:pPr>
        <w:spacing w:after="0" w:line="1" w:lineRule="exact"/>
        <w:rPr>
          <w:rFonts w:ascii="Arial" w:cs="Arial" w:eastAsia="Arial" w:hAnsi="Arial"/>
          <w:sz w:val="16"/>
          <w:szCs w:val="16"/>
          <w:color w:val="00A1DF"/>
        </w:rPr>
      </w:pPr>
    </w:p>
    <w:p>
      <w:pPr>
        <w:ind w:left="620" w:right="240" w:hanging="222"/>
        <w:spacing w:after="0" w:line="273" w:lineRule="auto"/>
        <w:tabs>
          <w:tab w:leader="none" w:pos="558" w:val="left"/>
        </w:tabs>
        <w:numPr>
          <w:ilvl w:val="0"/>
          <w:numId w:val="85"/>
        </w:numPr>
        <w:rPr>
          <w:rFonts w:ascii="Arial" w:cs="Arial" w:eastAsia="Arial" w:hAnsi="Arial"/>
          <w:sz w:val="16"/>
          <w:szCs w:val="16"/>
          <w:color w:val="00A1DF"/>
        </w:rPr>
      </w:pPr>
      <w:r>
        <w:rPr>
          <w:rFonts w:ascii="Arial" w:cs="Arial" w:eastAsia="Arial" w:hAnsi="Arial"/>
          <w:sz w:val="16"/>
          <w:szCs w:val="16"/>
          <w:color w:val="auto"/>
        </w:rPr>
        <w:t>Announced investment of $1.5B in U.S. manufacturing base to bring the next generation of mid-size trucks to market</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Transformation</w:t>
      </w:r>
    </w:p>
    <w:p>
      <w:pPr>
        <w:spacing w:after="0" w:line="50" w:lineRule="exact"/>
        <w:rPr>
          <w:sz w:val="20"/>
          <w:szCs w:val="20"/>
          <w:color w:val="auto"/>
        </w:rPr>
      </w:pPr>
    </w:p>
    <w:p>
      <w:pPr>
        <w:ind w:left="560" w:hanging="162"/>
        <w:spacing w:after="0"/>
        <w:tabs>
          <w:tab w:leader="none" w:pos="560"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 xml:space="preserve">Announced GMC’s first-ever electric truck, the HUMMER EV </w:t>
      </w:r>
      <w:r>
        <w:rPr>
          <w:rFonts w:ascii="Arial" w:cs="Arial" w:eastAsia="Arial" w:hAnsi="Arial"/>
          <w:sz w:val="1"/>
          <w:szCs w:val="1"/>
          <w:color w:val="00A1DF"/>
        </w:rPr>
        <w:drawing>
          <wp:inline distT="0" distB="0" distL="0" distR="0">
            <wp:extent cx="76200" cy="7620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6" w:lineRule="exact"/>
        <w:rPr>
          <w:rFonts w:ascii="Arial" w:cs="Arial" w:eastAsia="Arial" w:hAnsi="Arial"/>
          <w:sz w:val="16"/>
          <w:szCs w:val="16"/>
          <w:color w:val="00A1DF"/>
        </w:rPr>
      </w:pPr>
    </w:p>
    <w:p>
      <w:pPr>
        <w:ind w:left="620" w:right="240" w:hanging="222"/>
        <w:spacing w:after="0" w:line="273" w:lineRule="auto"/>
        <w:tabs>
          <w:tab w:leader="none" w:pos="567" w:val="left"/>
        </w:tabs>
        <w:numPr>
          <w:ilvl w:val="0"/>
          <w:numId w:val="86"/>
        </w:numPr>
        <w:rPr>
          <w:rFonts w:ascii="Arial" w:cs="Arial" w:eastAsia="Arial" w:hAnsi="Arial"/>
          <w:sz w:val="16"/>
          <w:szCs w:val="16"/>
          <w:color w:val="00A1DF"/>
        </w:rPr>
      </w:pPr>
      <w:r>
        <w:rPr>
          <w:rFonts w:ascii="Arial" w:cs="Arial" w:eastAsia="Arial" w:hAnsi="Arial"/>
          <w:sz w:val="16"/>
          <w:szCs w:val="16"/>
          <w:color w:val="auto"/>
        </w:rPr>
        <w:t>Committed to transforming the dealer experience to ensure an effective integration and partnership as we work to provide a seamless customer experience</w:t>
      </w:r>
    </w:p>
    <w:p>
      <w:pPr>
        <w:spacing w:after="0" w:line="167"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Compensation Committee made the following pay decisions considering feedback from their independent compensation consultant and management:</w:t>
      </w:r>
    </w:p>
    <w:p>
      <w:pPr>
        <w:spacing w:after="0" w:line="74"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color w:val="0033A0"/>
        </w:rPr>
        <w:t xml:space="preserve">Base Salary </w:t>
      </w:r>
      <w:r>
        <w:rPr>
          <w:rFonts w:ascii="Arial" w:cs="Arial" w:eastAsia="Arial" w:hAnsi="Arial"/>
          <w:sz w:val="18"/>
          <w:szCs w:val="18"/>
          <w:color w:val="000000"/>
        </w:rPr>
        <w:t>– Effective April 1, 2019, upon Mr. Engle’s promotion, the Committee</w:t>
      </w:r>
      <w:r>
        <w:rPr>
          <w:rFonts w:ascii="Arial" w:cs="Arial" w:eastAsia="Arial" w:hAnsi="Arial"/>
          <w:sz w:val="18"/>
          <w:szCs w:val="18"/>
          <w:b w:val="1"/>
          <w:bCs w:val="1"/>
          <w:color w:val="0033A0"/>
        </w:rPr>
        <w:t xml:space="preserve"> </w:t>
      </w:r>
      <w:r>
        <w:rPr>
          <w:rFonts w:ascii="Arial" w:cs="Arial" w:eastAsia="Arial" w:hAnsi="Arial"/>
          <w:sz w:val="18"/>
          <w:szCs w:val="18"/>
          <w:color w:val="000000"/>
        </w:rPr>
        <w:t>increased Mr. Engle’s base salary to $800,000 based on competitive market analysis.</w:t>
      </w:r>
    </w:p>
    <w:p>
      <w:pPr>
        <w:spacing w:after="0" w:line="5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color w:val="0033A0"/>
        </w:rPr>
        <w:t xml:space="preserve">Annual Incentive </w:t>
      </w:r>
      <w:r>
        <w:rPr>
          <w:rFonts w:ascii="Arial" w:cs="Arial" w:eastAsia="Arial" w:hAnsi="Arial"/>
          <w:sz w:val="18"/>
          <w:szCs w:val="18"/>
          <w:color w:val="000000"/>
        </w:rPr>
        <w:t>– Awarded 33 points based on results to strategic goals, highlighted</w:t>
      </w:r>
      <w:r>
        <w:rPr>
          <w:rFonts w:ascii="Arial" w:cs="Arial" w:eastAsia="Arial" w:hAnsi="Arial"/>
          <w:sz w:val="18"/>
          <w:szCs w:val="18"/>
          <w:b w:val="1"/>
          <w:bCs w:val="1"/>
          <w:color w:val="0033A0"/>
        </w:rPr>
        <w:t xml:space="preserve"> </w:t>
      </w:r>
      <w:r>
        <w:rPr>
          <w:rFonts w:ascii="Arial" w:cs="Arial" w:eastAsia="Arial" w:hAnsi="Arial"/>
          <w:sz w:val="18"/>
          <w:szCs w:val="18"/>
          <w:color w:val="000000"/>
        </w:rPr>
        <w:t>above, for the 2019 STIP performance year.</w:t>
      </w:r>
    </w:p>
    <w:p>
      <w:pPr>
        <w:spacing w:after="0" w:line="5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color w:val="0033A0"/>
        </w:rPr>
        <w:t xml:space="preserve">Long-Term Incentive </w:t>
      </w:r>
      <w:r>
        <w:rPr>
          <w:rFonts w:ascii="Arial" w:cs="Arial" w:eastAsia="Arial" w:hAnsi="Arial"/>
          <w:sz w:val="18"/>
          <w:szCs w:val="18"/>
          <w:color w:val="000000"/>
        </w:rPr>
        <w:t>– In February 2019, awarded an annual LTIP grant of $2.4 million. In</w:t>
      </w:r>
      <w:r>
        <w:rPr>
          <w:rFonts w:ascii="Arial" w:cs="Arial" w:eastAsia="Arial" w:hAnsi="Arial"/>
          <w:sz w:val="18"/>
          <w:szCs w:val="18"/>
          <w:b w:val="1"/>
          <w:bCs w:val="1"/>
          <w:color w:val="0033A0"/>
        </w:rPr>
        <w:t xml:space="preserve"> </w:t>
      </w:r>
      <w:r>
        <w:rPr>
          <w:rFonts w:ascii="Arial" w:cs="Arial" w:eastAsia="Arial" w:hAnsi="Arial"/>
          <w:sz w:val="18"/>
          <w:szCs w:val="18"/>
          <w:color w:val="000000"/>
        </w:rPr>
        <w:t>April 2019, following his promotion, awarded an additional LTIP grant of $0.8 million. Both grants consisted of 75% PSUs and 25% Stock Options.</w:t>
      </w:r>
    </w:p>
    <w:p>
      <w:pPr>
        <w:spacing w:after="0" w:line="87" w:lineRule="exact"/>
        <w:rPr>
          <w:sz w:val="20"/>
          <w:szCs w:val="20"/>
          <w:color w:val="auto"/>
        </w:rPr>
      </w:pPr>
    </w:p>
    <w:p>
      <w:pPr>
        <w:ind w:left="160" w:right="520"/>
        <w:spacing w:after="0" w:line="239" w:lineRule="auto"/>
        <w:rPr>
          <w:sz w:val="20"/>
          <w:szCs w:val="20"/>
          <w:color w:val="auto"/>
        </w:rPr>
      </w:pPr>
      <w:r>
        <w:rPr>
          <w:rFonts w:ascii="Arial" w:cs="Arial" w:eastAsia="Arial" w:hAnsi="Arial"/>
          <w:sz w:val="18"/>
          <w:szCs w:val="18"/>
          <w:color w:val="auto"/>
        </w:rPr>
        <w:t>Total compensation for Mr. Engle in 2019, including salary, STIP, and LTIP awards, is displayed below.</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60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800" w:type="dxa"/>
            <w:vAlign w:val="bottom"/>
            <w:tcBorders>
              <w:top w:val="single" w:sz="8" w:color="00A1DF"/>
            </w:tcBorders>
          </w:tcPr>
          <w:p>
            <w:pPr>
              <w:ind w:left="360"/>
              <w:spacing w:after="0"/>
              <w:rPr>
                <w:sz w:val="20"/>
                <w:szCs w:val="20"/>
                <w:color w:val="auto"/>
              </w:rPr>
            </w:pPr>
            <w:r>
              <w:rPr>
                <w:rFonts w:ascii="Arial" w:cs="Arial" w:eastAsia="Arial" w:hAnsi="Arial"/>
                <w:sz w:val="16"/>
                <w:szCs w:val="16"/>
                <w:b w:val="1"/>
                <w:bCs w:val="1"/>
                <w:color w:val="00A1DF"/>
              </w:rPr>
              <w:t>Majority of Pay Is At-Risk</w:t>
            </w:r>
          </w:p>
        </w:tc>
        <w:tc>
          <w:tcPr>
            <w:tcW w:w="180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600" w:type="dxa"/>
            <w:vAlign w:val="bottom"/>
            <w:tcBorders>
              <w:bottom w:val="single" w:sz="8" w:color="00A1DF"/>
            </w:tcBorders>
          </w:tcPr>
          <w:p>
            <w:pPr>
              <w:spacing w:after="0"/>
              <w:rPr>
                <w:sz w:val="5"/>
                <w:szCs w:val="5"/>
                <w:color w:val="auto"/>
              </w:rPr>
            </w:pPr>
          </w:p>
        </w:tc>
        <w:tc>
          <w:tcPr>
            <w:tcW w:w="3800" w:type="dxa"/>
            <w:vAlign w:val="bottom"/>
            <w:tcBorders>
              <w:bottom w:val="single" w:sz="8" w:color="00A1DF"/>
            </w:tcBorders>
          </w:tcPr>
          <w:p>
            <w:pPr>
              <w:spacing w:after="0"/>
              <w:rPr>
                <w:sz w:val="5"/>
                <w:szCs w:val="5"/>
                <w:color w:val="auto"/>
              </w:rPr>
            </w:pPr>
          </w:p>
        </w:tc>
        <w:tc>
          <w:tcPr>
            <w:tcW w:w="1800" w:type="dxa"/>
            <w:vAlign w:val="bottom"/>
            <w:tcBorders>
              <w:bottom w:val="single" w:sz="8" w:color="00A1DF"/>
            </w:tcBorders>
          </w:tcPr>
          <w:p>
            <w:pPr>
              <w:spacing w:after="0"/>
              <w:rPr>
                <w:sz w:val="5"/>
                <w:szCs w:val="5"/>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800" w:type="dxa"/>
            <w:vAlign w:val="bottom"/>
          </w:tcPr>
          <w:p>
            <w:pPr>
              <w:ind w:left="360"/>
              <w:spacing w:after="0"/>
              <w:rPr>
                <w:sz w:val="20"/>
                <w:szCs w:val="20"/>
                <w:color w:val="auto"/>
              </w:rPr>
            </w:pPr>
            <w:r>
              <w:rPr>
                <w:rFonts w:ascii="Arial" w:cs="Arial" w:eastAsia="Arial" w:hAnsi="Arial"/>
                <w:sz w:val="16"/>
                <w:szCs w:val="16"/>
                <w:color w:val="auto"/>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auto"/>
              </w:rPr>
              <w:t>$800,000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STIP</w:t>
            </w:r>
          </w:p>
        </w:tc>
        <w:tc>
          <w:tcPr>
            <w:tcW w:w="3800" w:type="dxa"/>
            <w:vAlign w:val="bottom"/>
          </w:tcPr>
          <w:p>
            <w:pPr>
              <w:ind w:left="360"/>
              <w:spacing w:after="0"/>
              <w:rPr>
                <w:sz w:val="20"/>
                <w:szCs w:val="20"/>
                <w:color w:val="auto"/>
              </w:rPr>
            </w:pPr>
            <w:r>
              <w:rPr>
                <w:rFonts w:ascii="Arial" w:cs="Arial" w:eastAsia="Arial" w:hAnsi="Arial"/>
                <w:sz w:val="16"/>
                <w:szCs w:val="16"/>
                <w:color w:val="auto"/>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auto"/>
              </w:rPr>
              <w:t>$650,000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Metrics and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$2,747,276</w:t>
            </w: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$800,003</w:t>
            </w: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8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33A0"/>
              </w:rPr>
              <w:t>$4,997,279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hanging="273"/>
        <w:spacing w:after="0" w:line="246" w:lineRule="auto"/>
        <w:tabs>
          <w:tab w:leader="none" w:pos="4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-4958715</wp:posOffset>
            </wp:positionV>
            <wp:extent cx="1621790" cy="45688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21790" cy="4568825"/>
                    </a:xfrm>
                    <a:prstGeom prst="rect">
                      <a:avLst/>
                    </a:prstGeom>
                    <a:noFill/>
                  </pic:spPr>
                </pic:pic>
              </a:graphicData>
            </a:graphic>
          </wp:anchor>
        </w:drawing>
      </w:r>
    </w:p>
    <w:p>
      <w:pPr>
        <w:spacing w:after="0" w:line="3254" w:lineRule="exact"/>
        <w:rPr>
          <w:sz w:val="20"/>
          <w:szCs w:val="20"/>
          <w:color w:val="auto"/>
        </w:rPr>
      </w:pPr>
    </w:p>
    <w:p>
      <w:pPr>
        <w:sectPr>
          <w:pgSz w:w="11900" w:h="16838" w:orient="portrait"/>
          <w:cols w:equalWidth="0" w:num="2">
            <w:col w:w="7360" w:space="340"/>
            <w:col w:w="3400"/>
          </w:cols>
          <w:pgMar w:left="320" w:top="4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700"/>
        <w:spacing w:after="0"/>
        <w:rPr>
          <w:sz w:val="20"/>
          <w:szCs w:val="20"/>
          <w:color w:val="auto"/>
        </w:rPr>
      </w:pPr>
      <w:r>
        <w:rPr>
          <w:sz w:val="1"/>
          <w:szCs w:val="1"/>
          <w:color w:val="auto"/>
        </w:rPr>
        <w:drawing>
          <wp:inline distT="0" distB="0" distL="0" distR="0">
            <wp:extent cx="93345" cy="8509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r>
        <w:rPr>
          <w:rFonts w:ascii="Arial" w:cs="Arial" w:eastAsia="Arial" w:hAnsi="Arial"/>
          <w:sz w:val="18"/>
          <w:szCs w:val="18"/>
          <w:i w:val="1"/>
          <w:iCs w:val="1"/>
          <w:color w:val="auto"/>
        </w:rPr>
        <w:t xml:space="preserve"> Represents ESG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194945</wp:posOffset>
            </wp:positionV>
            <wp:extent cx="6793865" cy="1016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55</w:t>
      </w:r>
    </w:p>
    <w:p>
      <w:pPr>
        <w:sectPr>
          <w:pgSz w:w="11900" w:h="16838" w:orient="portrait"/>
          <w:cols w:equalWidth="0" w:num="1">
            <w:col w:w="11100"/>
          </w:cols>
          <w:pgMar w:left="320" w:top="456" w:right="4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8" w:lineRule="exact"/>
        <w:rPr>
          <w:sz w:val="20"/>
          <w:szCs w:val="20"/>
          <w:color w:val="auto"/>
        </w:rPr>
      </w:pPr>
    </w:p>
    <w:p>
      <w:pPr>
        <w:ind w:left="600" w:hanging="433"/>
        <w:spacing w:after="0"/>
        <w:tabs>
          <w:tab w:leader="none" w:pos="600" w:val="left"/>
        </w:tabs>
        <w:numPr>
          <w:ilvl w:val="0"/>
          <w:numId w:val="88"/>
        </w:numPr>
        <w:rPr>
          <w:rFonts w:ascii="Arial" w:cs="Arial" w:eastAsia="Arial" w:hAnsi="Arial"/>
          <w:sz w:val="25"/>
          <w:szCs w:val="25"/>
          <w:color w:val="0033A0"/>
        </w:rPr>
      </w:pPr>
      <w:r>
        <w:rPr>
          <w:rFonts w:ascii="Arial" w:cs="Arial" w:eastAsia="Arial" w:hAnsi="Arial"/>
          <w:sz w:val="25"/>
          <w:szCs w:val="25"/>
          <w:color w:val="auto"/>
        </w:rPr>
        <w:t>Compensation Decisions for Craig B. Glidden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33A0"/>
        </w:rPr>
        <w:t xml:space="preserve">Craig B. Glidden, </w:t>
      </w:r>
      <w:r>
        <w:rPr>
          <w:rFonts w:ascii="Arial" w:cs="Arial" w:eastAsia="Arial" w:hAnsi="Arial"/>
          <w:sz w:val="20"/>
          <w:szCs w:val="20"/>
          <w:b w:val="1"/>
          <w:bCs w:val="1"/>
          <w:color w:val="000000"/>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666230" cy="21228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666230" cy="2122805"/>
                    </a:xfrm>
                    <a:prstGeom prst="rect">
                      <a:avLst/>
                    </a:prstGeom>
                    <a:noFill/>
                  </pic:spPr>
                </pic:pic>
              </a:graphicData>
            </a:graphic>
          </wp:anchor>
        </w:drawing>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2019 performance highlights to strategic goals for Mr. Glidden include: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Culture</w:t>
      </w:r>
    </w:p>
    <w:p>
      <w:pPr>
        <w:spacing w:after="0" w:line="38" w:lineRule="exact"/>
        <w:rPr>
          <w:sz w:val="20"/>
          <w:szCs w:val="20"/>
          <w:color w:val="auto"/>
        </w:rPr>
      </w:pPr>
    </w:p>
    <w:p>
      <w:pPr>
        <w:ind w:left="620" w:right="3960" w:hanging="212"/>
        <w:spacing w:after="0" w:line="260"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Continued to drive enterprise engagement towards a safety-first culture resulting in zero</w:t>
      </w:r>
      <w:r>
        <w:rPr>
          <w:rFonts w:ascii="Arial" w:cs="Arial" w:eastAsia="Arial" w:hAnsi="Arial"/>
          <w:sz w:val="16"/>
          <w:szCs w:val="16"/>
          <w:color w:val="00A1DF"/>
        </w:rPr>
        <w:t xml:space="preserve"> </w:t>
      </w:r>
      <w:r>
        <w:rPr>
          <w:rFonts w:ascii="Arial" w:cs="Arial" w:eastAsia="Arial" w:hAnsi="Arial"/>
          <w:sz w:val="16"/>
          <w:szCs w:val="16"/>
          <w:color w:val="000000"/>
        </w:rPr>
        <w:t xml:space="preserve">fatalities and reductions in permanently disabling injuries and lost workdays </w:t>
      </w:r>
      <w:r>
        <w:rPr>
          <w:sz w:val="1"/>
          <w:szCs w:val="1"/>
          <w:color w:val="auto"/>
        </w:rPr>
        <w:drawing>
          <wp:inline distT="0" distB="0" distL="0" distR="0">
            <wp:extent cx="76200" cy="7620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 w:lineRule="exact"/>
        <w:rPr>
          <w:sz w:val="20"/>
          <w:szCs w:val="20"/>
          <w:color w:val="auto"/>
        </w:rPr>
      </w:pPr>
    </w:p>
    <w:p>
      <w:pPr>
        <w:ind w:left="620" w:right="3960" w:hanging="212"/>
        <w:spacing w:after="0" w:line="27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Recognized by Financial Times as the Most Innovative In-House Legal Team in North</w:t>
      </w:r>
      <w:r>
        <w:rPr>
          <w:rFonts w:ascii="Arial" w:cs="Arial" w:eastAsia="Arial" w:hAnsi="Arial"/>
          <w:sz w:val="16"/>
          <w:szCs w:val="16"/>
          <w:color w:val="00A1DF"/>
        </w:rPr>
        <w:t xml:space="preserve"> </w:t>
      </w:r>
      <w:r>
        <w:rPr>
          <w:rFonts w:ascii="Arial" w:cs="Arial" w:eastAsia="Arial" w:hAnsi="Arial"/>
          <w:sz w:val="16"/>
          <w:szCs w:val="16"/>
          <w:color w:val="000000"/>
        </w:rPr>
        <w:t xml:space="preserve">America </w:t>
      </w:r>
      <w:r>
        <w:rPr>
          <w:sz w:val="1"/>
          <w:szCs w:val="1"/>
          <w:color w:val="auto"/>
        </w:rPr>
        <w:drawing>
          <wp:inline distT="0" distB="0" distL="0" distR="0">
            <wp:extent cx="76200" cy="762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Core Operations</w:t>
      </w:r>
    </w:p>
    <w:p>
      <w:pPr>
        <w:spacing w:after="0" w:line="50" w:lineRule="exact"/>
        <w:rPr>
          <w:sz w:val="20"/>
          <w:szCs w:val="20"/>
          <w:color w:val="auto"/>
        </w:rPr>
      </w:pPr>
    </w:p>
    <w:p>
      <w:pPr>
        <w:ind w:left="560" w:hanging="162"/>
        <w:spacing w:after="0"/>
        <w:tabs>
          <w:tab w:leader="none" w:pos="56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Resolved complex legal matters</w:t>
      </w:r>
    </w:p>
    <w:p>
      <w:pPr>
        <w:spacing w:after="0" w:line="16" w:lineRule="exact"/>
        <w:rPr>
          <w:rFonts w:ascii="Arial" w:cs="Arial" w:eastAsia="Arial" w:hAnsi="Arial"/>
          <w:sz w:val="16"/>
          <w:szCs w:val="16"/>
          <w:color w:val="00A1DF"/>
        </w:rPr>
      </w:pPr>
    </w:p>
    <w:p>
      <w:pPr>
        <w:ind w:left="560" w:hanging="162"/>
        <w:spacing w:after="0"/>
        <w:tabs>
          <w:tab w:leader="none" w:pos="560" w:val="left"/>
        </w:tabs>
        <w:numPr>
          <w:ilvl w:val="0"/>
          <w:numId w:val="89"/>
        </w:numPr>
        <w:rPr>
          <w:rFonts w:ascii="Arial" w:cs="Arial" w:eastAsia="Arial" w:hAnsi="Arial"/>
          <w:sz w:val="16"/>
          <w:szCs w:val="16"/>
          <w:color w:val="00A1DF"/>
        </w:rPr>
      </w:pPr>
      <w:r>
        <w:rPr>
          <w:rFonts w:ascii="Arial" w:cs="Arial" w:eastAsia="Arial" w:hAnsi="Arial"/>
          <w:sz w:val="16"/>
          <w:szCs w:val="16"/>
          <w:color w:val="auto"/>
        </w:rPr>
        <w:t>Oversaw legal support for all acquisition, divestiture, and transformation efforts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Transformation</w:t>
      </w:r>
    </w:p>
    <w:p>
      <w:pPr>
        <w:spacing w:after="0" w:line="38" w:lineRule="exact"/>
        <w:rPr>
          <w:sz w:val="20"/>
          <w:szCs w:val="20"/>
          <w:color w:val="auto"/>
        </w:rPr>
      </w:pPr>
    </w:p>
    <w:p>
      <w:pPr>
        <w:ind w:left="620" w:right="3960" w:hanging="212"/>
        <w:spacing w:after="0" w:line="252"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Furthered</w:t>
      </w:r>
      <w:r>
        <w:rPr>
          <w:sz w:val="20"/>
          <w:szCs w:val="20"/>
          <w:color w:val="auto"/>
        </w:rPr>
        <w:t xml:space="preserve"> </w:t>
      </w:r>
      <w:r>
        <w:rPr>
          <w:rFonts w:ascii="Arial" w:cs="Arial" w:eastAsia="Arial" w:hAnsi="Arial"/>
          <w:sz w:val="16"/>
          <w:szCs w:val="16"/>
          <w:color w:val="auto"/>
        </w:rPr>
        <w:t xml:space="preserve">efforts in autonomous vehicle regulations to move closer to commercial deployment </w:t>
      </w:r>
      <w:r>
        <w:rPr>
          <w:sz w:val="1"/>
          <w:szCs w:val="1"/>
          <w:color w:val="auto"/>
        </w:rPr>
        <w:drawing>
          <wp:inline distT="0" distB="0" distL="0" distR="0">
            <wp:extent cx="76200" cy="762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pacing w:after="0" w:line="195" w:lineRule="exact"/>
        <w:rPr>
          <w:sz w:val="20"/>
          <w:szCs w:val="20"/>
          <w:color w:val="auto"/>
        </w:rPr>
      </w:pPr>
    </w:p>
    <w:p>
      <w:pPr>
        <w:ind w:left="620" w:right="3960" w:hanging="212"/>
        <w:spacing w:after="0" w:line="273" w:lineRule="auto"/>
        <w:rPr>
          <w:sz w:val="20"/>
          <w:szCs w:val="20"/>
          <w:color w:val="auto"/>
        </w:rPr>
      </w:pPr>
      <w:r>
        <w:rPr>
          <w:rFonts w:ascii="Arial" w:cs="Arial" w:eastAsia="Arial" w:hAnsi="Arial"/>
          <w:sz w:val="16"/>
          <w:szCs w:val="16"/>
          <w:color w:val="00A1DF"/>
        </w:rPr>
        <w:t xml:space="preserve">u </w:t>
      </w:r>
      <w:r>
        <w:rPr>
          <w:rFonts w:ascii="Arial" w:cs="Arial" w:eastAsia="Arial" w:hAnsi="Arial"/>
          <w:sz w:val="16"/>
          <w:szCs w:val="16"/>
          <w:color w:val="000000"/>
        </w:rPr>
        <w:t>Advised</w:t>
      </w:r>
      <w:r>
        <w:rPr>
          <w:sz w:val="20"/>
          <w:szCs w:val="20"/>
          <w:color w:val="auto"/>
        </w:rPr>
        <w:t xml:space="preserve"> </w:t>
      </w:r>
      <w:r>
        <w:rPr>
          <w:rFonts w:ascii="Arial" w:cs="Arial" w:eastAsia="Arial" w:hAnsi="Arial"/>
          <w:sz w:val="16"/>
          <w:szCs w:val="16"/>
          <w:color w:val="auto"/>
        </w:rPr>
        <w:t xml:space="preserve">the Company on legal issues related to the joint venture with LG Chem to manufacture battery cells for future EVs </w:t>
      </w:r>
      <w:r>
        <w:rPr>
          <w:sz w:val="1"/>
          <w:szCs w:val="1"/>
          <w:color w:val="auto"/>
        </w:rPr>
        <w:drawing>
          <wp:inline distT="0" distB="0" distL="0" distR="0">
            <wp:extent cx="76200" cy="762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200" cy="762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p>
      <w:pPr>
        <w:spacing w:after="0" w:line="205"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Compensation Committee made the following pay decisions considering feedback from their independent compensation consultant and management:</w:t>
      </w:r>
    </w:p>
    <w:p>
      <w:pPr>
        <w:spacing w:after="0" w:line="89" w:lineRule="exact"/>
        <w:rPr>
          <w:sz w:val="20"/>
          <w:szCs w:val="20"/>
          <w:color w:val="auto"/>
        </w:rPr>
      </w:pPr>
    </w:p>
    <w:p>
      <w:pPr>
        <w:ind w:left="160" w:right="640"/>
        <w:spacing w:after="0" w:line="254" w:lineRule="auto"/>
        <w:rPr>
          <w:sz w:val="20"/>
          <w:szCs w:val="20"/>
          <w:color w:val="auto"/>
        </w:rPr>
      </w:pPr>
      <w:r>
        <w:rPr>
          <w:rFonts w:ascii="Arial" w:cs="Arial" w:eastAsia="Arial" w:hAnsi="Arial"/>
          <w:sz w:val="20"/>
          <w:szCs w:val="20"/>
          <w:b w:val="1"/>
          <w:bCs w:val="1"/>
          <w:color w:val="0033A0"/>
        </w:rPr>
        <w:t xml:space="preserve">Base Salary </w:t>
      </w:r>
      <w:r>
        <w:rPr>
          <w:rFonts w:ascii="Arial" w:cs="Arial" w:eastAsia="Arial" w:hAnsi="Arial"/>
          <w:sz w:val="20"/>
          <w:szCs w:val="20"/>
          <w:color w:val="000000"/>
        </w:rPr>
        <w:t>– Determined a base salary of $775,000 based on competitive</w:t>
      </w:r>
      <w:r>
        <w:rPr>
          <w:rFonts w:ascii="Arial" w:cs="Arial" w:eastAsia="Arial" w:hAnsi="Arial"/>
          <w:sz w:val="20"/>
          <w:szCs w:val="20"/>
          <w:b w:val="1"/>
          <w:bCs w:val="1"/>
          <w:color w:val="0033A0"/>
        </w:rPr>
        <w:t xml:space="preserve"> </w:t>
      </w:r>
      <w:r>
        <w:rPr>
          <w:rFonts w:ascii="Arial" w:cs="Arial" w:eastAsia="Arial" w:hAnsi="Arial"/>
          <w:sz w:val="20"/>
          <w:szCs w:val="20"/>
          <w:color w:val="000000"/>
        </w:rPr>
        <w:t>market analysis.</w:t>
      </w:r>
    </w:p>
    <w:p>
      <w:pPr>
        <w:spacing w:after="0" w:line="8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Annual Incentive </w:t>
      </w:r>
      <w:r>
        <w:rPr>
          <w:rFonts w:ascii="Arial" w:cs="Arial" w:eastAsia="Arial" w:hAnsi="Arial"/>
          <w:sz w:val="20"/>
          <w:szCs w:val="20"/>
          <w:color w:val="000000"/>
        </w:rPr>
        <w:t>– Awarded 38 points based on results to strategic goals,</w:t>
      </w:r>
      <w:r>
        <w:rPr>
          <w:rFonts w:ascii="Arial" w:cs="Arial" w:eastAsia="Arial" w:hAnsi="Arial"/>
          <w:sz w:val="20"/>
          <w:szCs w:val="20"/>
          <w:b w:val="1"/>
          <w:bCs w:val="1"/>
          <w:color w:val="0033A0"/>
        </w:rPr>
        <w:t xml:space="preserve"> </w:t>
      </w:r>
      <w:r>
        <w:rPr>
          <w:rFonts w:ascii="Arial" w:cs="Arial" w:eastAsia="Arial" w:hAnsi="Arial"/>
          <w:sz w:val="20"/>
          <w:szCs w:val="20"/>
          <w:color w:val="000000"/>
        </w:rPr>
        <w:t>highlighted above, for the 2019 STIP performance year.</w:t>
      </w:r>
    </w:p>
    <w:p>
      <w:pPr>
        <w:spacing w:after="0" w:line="88" w:lineRule="exact"/>
        <w:rPr>
          <w:sz w:val="20"/>
          <w:szCs w:val="20"/>
          <w:color w:val="auto"/>
        </w:rPr>
      </w:pPr>
    </w:p>
    <w:p>
      <w:pPr>
        <w:ind w:left="160"/>
        <w:spacing w:after="0" w:line="254" w:lineRule="auto"/>
        <w:rPr>
          <w:sz w:val="20"/>
          <w:szCs w:val="20"/>
          <w:color w:val="auto"/>
        </w:rPr>
      </w:pPr>
      <w:r>
        <w:rPr>
          <w:rFonts w:ascii="Arial" w:cs="Arial" w:eastAsia="Arial" w:hAnsi="Arial"/>
          <w:sz w:val="20"/>
          <w:szCs w:val="20"/>
          <w:b w:val="1"/>
          <w:bCs w:val="1"/>
          <w:color w:val="0033A0"/>
        </w:rPr>
        <w:t xml:space="preserve">Long-Term Incentive </w:t>
      </w:r>
      <w:r>
        <w:rPr>
          <w:rFonts w:ascii="Arial" w:cs="Arial" w:eastAsia="Arial" w:hAnsi="Arial"/>
          <w:sz w:val="20"/>
          <w:szCs w:val="20"/>
          <w:color w:val="000000"/>
        </w:rPr>
        <w:t>– In February 2019, awarded an annual LTIP grant of $2.4</w:t>
      </w:r>
      <w:r>
        <w:rPr>
          <w:rFonts w:ascii="Arial" w:cs="Arial" w:eastAsia="Arial" w:hAnsi="Arial"/>
          <w:sz w:val="20"/>
          <w:szCs w:val="20"/>
          <w:b w:val="1"/>
          <w:bCs w:val="1"/>
          <w:color w:val="0033A0"/>
        </w:rPr>
        <w:t xml:space="preserve"> </w:t>
      </w:r>
      <w:r>
        <w:rPr>
          <w:rFonts w:ascii="Arial" w:cs="Arial" w:eastAsia="Arial" w:hAnsi="Arial"/>
          <w:sz w:val="20"/>
          <w:szCs w:val="20"/>
          <w:color w:val="000000"/>
        </w:rPr>
        <w:t>million, consisting of 75% PSUs and 25% Stock Options.</w:t>
      </w:r>
    </w:p>
    <w:p>
      <w:pPr>
        <w:spacing w:after="0" w:line="99" w:lineRule="exact"/>
        <w:rPr>
          <w:sz w:val="20"/>
          <w:szCs w:val="20"/>
          <w:color w:val="auto"/>
        </w:rPr>
      </w:pPr>
    </w:p>
    <w:p>
      <w:pPr>
        <w:ind w:left="160" w:right="620"/>
        <w:spacing w:after="0" w:line="234" w:lineRule="auto"/>
        <w:rPr>
          <w:sz w:val="20"/>
          <w:szCs w:val="20"/>
          <w:color w:val="auto"/>
        </w:rPr>
      </w:pPr>
      <w:r>
        <w:rPr>
          <w:rFonts w:ascii="Arial" w:cs="Arial" w:eastAsia="Arial" w:hAnsi="Arial"/>
          <w:sz w:val="20"/>
          <w:szCs w:val="20"/>
          <w:color w:val="auto"/>
        </w:rPr>
        <w:t>Total compensation for Mr. Glidden in 2019, including salary, STIP, and LTIP awards,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60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800" w:type="dxa"/>
            <w:vAlign w:val="bottom"/>
            <w:tcBorders>
              <w:top w:val="single" w:sz="8" w:color="00A1DF"/>
            </w:tcBorders>
          </w:tcPr>
          <w:p>
            <w:pPr>
              <w:ind w:left="360"/>
              <w:spacing w:after="0"/>
              <w:rPr>
                <w:sz w:val="20"/>
                <w:szCs w:val="20"/>
                <w:color w:val="auto"/>
              </w:rPr>
            </w:pPr>
            <w:r>
              <w:rPr>
                <w:rFonts w:ascii="Arial" w:cs="Arial" w:eastAsia="Arial" w:hAnsi="Arial"/>
                <w:sz w:val="16"/>
                <w:szCs w:val="16"/>
                <w:b w:val="1"/>
                <w:bCs w:val="1"/>
                <w:color w:val="00A1DF"/>
              </w:rPr>
              <w:t>Majority of Pay Is At-Risk</w:t>
            </w:r>
          </w:p>
        </w:tc>
        <w:tc>
          <w:tcPr>
            <w:tcW w:w="180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600" w:type="dxa"/>
            <w:vAlign w:val="bottom"/>
            <w:tcBorders>
              <w:bottom w:val="single" w:sz="8" w:color="00A1DF"/>
            </w:tcBorders>
          </w:tcPr>
          <w:p>
            <w:pPr>
              <w:spacing w:after="0"/>
              <w:rPr>
                <w:sz w:val="5"/>
                <w:szCs w:val="5"/>
                <w:color w:val="auto"/>
              </w:rPr>
            </w:pPr>
          </w:p>
        </w:tc>
        <w:tc>
          <w:tcPr>
            <w:tcW w:w="3800" w:type="dxa"/>
            <w:vAlign w:val="bottom"/>
            <w:tcBorders>
              <w:bottom w:val="single" w:sz="8" w:color="00A1DF"/>
            </w:tcBorders>
          </w:tcPr>
          <w:p>
            <w:pPr>
              <w:spacing w:after="0"/>
              <w:rPr>
                <w:sz w:val="5"/>
                <w:szCs w:val="5"/>
                <w:color w:val="auto"/>
              </w:rPr>
            </w:pPr>
          </w:p>
        </w:tc>
        <w:tc>
          <w:tcPr>
            <w:tcW w:w="1800" w:type="dxa"/>
            <w:vAlign w:val="bottom"/>
            <w:tcBorders>
              <w:bottom w:val="single" w:sz="8" w:color="00A1DF"/>
            </w:tcBorders>
          </w:tcPr>
          <w:p>
            <w:pPr>
              <w:spacing w:after="0"/>
              <w:rPr>
                <w:sz w:val="5"/>
                <w:szCs w:val="5"/>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800" w:type="dxa"/>
            <w:vAlign w:val="bottom"/>
          </w:tcPr>
          <w:p>
            <w:pPr>
              <w:ind w:left="360"/>
              <w:spacing w:after="0"/>
              <w:rPr>
                <w:sz w:val="20"/>
                <w:szCs w:val="20"/>
                <w:color w:val="auto"/>
              </w:rPr>
            </w:pPr>
            <w:r>
              <w:rPr>
                <w:rFonts w:ascii="Arial" w:cs="Arial" w:eastAsia="Arial" w:hAnsi="Arial"/>
                <w:sz w:val="16"/>
                <w:szCs w:val="16"/>
                <w:color w:val="auto"/>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auto"/>
              </w:rPr>
              <w:t>$775,000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color w:val="auto"/>
              </w:rPr>
              <w:t>STIP</w:t>
            </w:r>
          </w:p>
        </w:tc>
        <w:tc>
          <w:tcPr>
            <w:tcW w:w="3800" w:type="dxa"/>
            <w:vAlign w:val="bottom"/>
          </w:tcPr>
          <w:p>
            <w:pPr>
              <w:ind w:left="360"/>
              <w:spacing w:after="0"/>
              <w:rPr>
                <w:sz w:val="20"/>
                <w:szCs w:val="20"/>
                <w:color w:val="auto"/>
              </w:rPr>
            </w:pPr>
            <w:r>
              <w:rPr>
                <w:rFonts w:ascii="Arial" w:cs="Arial" w:eastAsia="Arial" w:hAnsi="Arial"/>
                <w:sz w:val="16"/>
                <w:szCs w:val="16"/>
                <w:color w:val="auto"/>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auto"/>
              </w:rPr>
              <w:t>$678,200</w:t>
            </w:r>
          </w:p>
        </w:tc>
      </w:tr>
      <w:tr>
        <w:trPr>
          <w:trHeight w:val="72"/>
        </w:trPr>
        <w:tc>
          <w:tcPr>
            <w:tcW w:w="160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Metrics and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$2,072,064</w:t>
            </w:r>
          </w:p>
        </w:tc>
      </w:tr>
      <w:tr>
        <w:trPr>
          <w:trHeight w:val="328"/>
        </w:trPr>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Performance to Stock Price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$601,553</w:t>
            </w:r>
          </w:p>
        </w:tc>
      </w:tr>
      <w:tr>
        <w:trPr>
          <w:trHeight w:val="255"/>
        </w:trPr>
        <w:tc>
          <w:tcPr>
            <w:tcW w:w="160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8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33A0"/>
              </w:rPr>
              <w:t>$4,126,817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hanging="273"/>
        <w:spacing w:after="0" w:line="246" w:lineRule="auto"/>
        <w:tabs>
          <w:tab w:leader="none" w:pos="4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-2767965</wp:posOffset>
            </wp:positionV>
            <wp:extent cx="951230" cy="23780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51230" cy="2378075"/>
                    </a:xfrm>
                    <a:prstGeom prst="rect">
                      <a:avLst/>
                    </a:prstGeom>
                    <a:noFill/>
                  </pic:spPr>
                </pic:pic>
              </a:graphicData>
            </a:graphic>
          </wp:anchor>
        </w:drawing>
      </w:r>
    </w:p>
    <w:p>
      <w:pPr>
        <w:spacing w:after="0" w:line="1342" w:lineRule="exact"/>
        <w:rPr>
          <w:sz w:val="20"/>
          <w:szCs w:val="20"/>
          <w:color w:val="auto"/>
        </w:rPr>
      </w:pPr>
    </w:p>
    <w:p>
      <w:pPr>
        <w:sectPr>
          <w:pgSz w:w="11900" w:h="16838" w:orient="portrait"/>
          <w:cols w:equalWidth="0" w:num="2">
            <w:col w:w="7360" w:space="340"/>
            <w:col w:w="33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700"/>
        <w:spacing w:after="0"/>
        <w:rPr>
          <w:sz w:val="20"/>
          <w:szCs w:val="20"/>
          <w:color w:val="auto"/>
        </w:rPr>
      </w:pPr>
      <w:r>
        <w:rPr>
          <w:sz w:val="1"/>
          <w:szCs w:val="1"/>
          <w:color w:val="auto"/>
        </w:rPr>
        <w:drawing>
          <wp:inline distT="0" distB="0" distL="0" distR="0">
            <wp:extent cx="93345" cy="8509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345" cy="85090"/>
                    </a:xfrm>
                    <a:prstGeom prst="rect">
                      <a:avLst/>
                    </a:prstGeom>
                    <a:noFill/>
                    <a:ln>
                      <a:noFill/>
                    </a:ln>
                  </pic:spPr>
                </pic:pic>
              </a:graphicData>
            </a:graphic>
          </wp:inline>
        </w:drawing>
      </w:r>
      <w:r>
        <w:rPr>
          <w:rFonts w:ascii="Arial" w:cs="Arial" w:eastAsia="Arial" w:hAnsi="Arial"/>
          <w:sz w:val="17"/>
          <w:szCs w:val="17"/>
          <w:i w:val="1"/>
          <w:iCs w:val="1"/>
          <w:color w:val="auto"/>
        </w:rPr>
        <w:t xml:space="preserve"> Represents ESG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193675</wp:posOffset>
            </wp:positionV>
            <wp:extent cx="6793865" cy="1016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56</w:t>
      </w:r>
    </w:p>
    <w:p>
      <w:pPr>
        <w:sectPr>
          <w:pgSz w:w="11900" w:h="16838" w:orient="portrait"/>
          <w:cols w:equalWidth="0" w:num="1">
            <w:col w:w="11080"/>
          </w:cols>
          <w:pgMar w:left="320" w:top="456" w:right="49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8" w:lineRule="exact"/>
        <w:rPr>
          <w:sz w:val="20"/>
          <w:szCs w:val="20"/>
          <w:color w:val="auto"/>
        </w:rPr>
      </w:pPr>
    </w:p>
    <w:p>
      <w:pPr>
        <w:ind w:left="600" w:hanging="433"/>
        <w:spacing w:after="0"/>
        <w:tabs>
          <w:tab w:leader="none" w:pos="600" w:val="left"/>
        </w:tabs>
        <w:numPr>
          <w:ilvl w:val="0"/>
          <w:numId w:val="91"/>
        </w:numPr>
        <w:rPr>
          <w:rFonts w:ascii="Arial" w:cs="Arial" w:eastAsia="Arial" w:hAnsi="Arial"/>
          <w:sz w:val="25"/>
          <w:szCs w:val="25"/>
          <w:color w:val="0033A0"/>
        </w:rPr>
      </w:pPr>
      <w:r>
        <w:rPr>
          <w:rFonts w:ascii="Arial" w:cs="Arial" w:eastAsia="Arial" w:hAnsi="Arial"/>
          <w:sz w:val="25"/>
          <w:szCs w:val="25"/>
          <w:color w:val="auto"/>
        </w:rPr>
        <w:t>Compensation Decisions for Alan S. Batey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33A0"/>
        </w:rPr>
        <w:t xml:space="preserve">Alan S. Batey, </w:t>
      </w:r>
      <w:r>
        <w:rPr>
          <w:rFonts w:ascii="Arial" w:cs="Arial" w:eastAsia="Arial" w:hAnsi="Arial"/>
          <w:sz w:val="20"/>
          <w:szCs w:val="20"/>
          <w:b w:val="1"/>
          <w:bCs w:val="1"/>
          <w:color w:val="000000"/>
        </w:rPr>
        <w:t>Advisor and Former Executive Vice President and</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632575" cy="20294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32575" cy="2029460"/>
                    </a:xfrm>
                    <a:prstGeom prst="rect">
                      <a:avLst/>
                    </a:prstGeom>
                    <a:noFill/>
                  </pic:spPr>
                </pic:pic>
              </a:graphicData>
            </a:graphic>
          </wp:anchor>
        </w:drawing>
      </w:r>
    </w:p>
    <w:p>
      <w:pPr>
        <w:spacing w:after="0" w:line="90" w:lineRule="exact"/>
        <w:rPr>
          <w:sz w:val="20"/>
          <w:szCs w:val="20"/>
          <w:color w:val="auto"/>
        </w:rPr>
      </w:pPr>
    </w:p>
    <w:p>
      <w:pPr>
        <w:jc w:val="both"/>
        <w:ind w:left="400" w:right="3980"/>
        <w:spacing w:after="0" w:line="248" w:lineRule="auto"/>
        <w:rPr>
          <w:sz w:val="20"/>
          <w:szCs w:val="20"/>
          <w:color w:val="auto"/>
        </w:rPr>
      </w:pPr>
      <w:r>
        <w:rPr>
          <w:rFonts w:ascii="Arial" w:cs="Arial" w:eastAsia="Arial" w:hAnsi="Arial"/>
          <w:sz w:val="16"/>
          <w:szCs w:val="16"/>
          <w:color w:val="auto"/>
        </w:rPr>
        <w:t>Mr. Batey retired on March 1, 2020, after 40 years with the Company. He held the position of EVP and President, North America, since 2014 and led Global Chevrolet since July 2013. Mr. Batey served as an advisor after stepping down on April 1, 2019, to assist in a smooth transition of his responsibilities to Mr. Engle.</w:t>
      </w:r>
    </w:p>
    <w:p>
      <w:pPr>
        <w:spacing w:after="0" w:line="224" w:lineRule="exact"/>
        <w:rPr>
          <w:sz w:val="20"/>
          <w:szCs w:val="20"/>
          <w:color w:val="auto"/>
        </w:rPr>
      </w:pPr>
    </w:p>
    <w:p>
      <w:pPr>
        <w:jc w:val="both"/>
        <w:ind w:left="160" w:right="3740"/>
        <w:spacing w:after="0" w:line="234" w:lineRule="auto"/>
        <w:rPr>
          <w:sz w:val="20"/>
          <w:szCs w:val="20"/>
          <w:color w:val="auto"/>
        </w:rPr>
      </w:pPr>
      <w:r>
        <w:rPr>
          <w:rFonts w:ascii="Arial" w:cs="Arial" w:eastAsia="Arial" w:hAnsi="Arial"/>
          <w:sz w:val="20"/>
          <w:szCs w:val="20"/>
          <w:color w:val="auto"/>
        </w:rPr>
        <w:t>The Compensation Committee made the following pay decisions considering feedback from their independent compensation consultant and management:</w:t>
      </w:r>
    </w:p>
    <w:p>
      <w:pPr>
        <w:spacing w:after="0" w:line="89" w:lineRule="exact"/>
        <w:rPr>
          <w:sz w:val="20"/>
          <w:szCs w:val="20"/>
          <w:color w:val="auto"/>
        </w:rPr>
      </w:pPr>
    </w:p>
    <w:p>
      <w:pPr>
        <w:ind w:left="160" w:right="4320"/>
        <w:spacing w:after="0" w:line="254" w:lineRule="auto"/>
        <w:rPr>
          <w:sz w:val="20"/>
          <w:szCs w:val="20"/>
          <w:color w:val="auto"/>
        </w:rPr>
      </w:pPr>
      <w:r>
        <w:rPr>
          <w:rFonts w:ascii="Arial" w:cs="Arial" w:eastAsia="Arial" w:hAnsi="Arial"/>
          <w:sz w:val="20"/>
          <w:szCs w:val="20"/>
          <w:b w:val="1"/>
          <w:bCs w:val="1"/>
          <w:color w:val="0033A0"/>
        </w:rPr>
        <w:t xml:space="preserve">Base Salary </w:t>
      </w:r>
      <w:r>
        <w:rPr>
          <w:rFonts w:ascii="Arial" w:cs="Arial" w:eastAsia="Arial" w:hAnsi="Arial"/>
          <w:sz w:val="20"/>
          <w:szCs w:val="20"/>
          <w:color w:val="000000"/>
        </w:rPr>
        <w:t>– Held base salary at $1,025,000 based on competitive market</w:t>
      </w:r>
      <w:r>
        <w:rPr>
          <w:rFonts w:ascii="Arial" w:cs="Arial" w:eastAsia="Arial" w:hAnsi="Arial"/>
          <w:sz w:val="20"/>
          <w:szCs w:val="20"/>
          <w:b w:val="1"/>
          <w:bCs w:val="1"/>
          <w:color w:val="0033A0"/>
        </w:rPr>
        <w:t xml:space="preserve"> </w:t>
      </w:r>
      <w:r>
        <w:rPr>
          <w:rFonts w:ascii="Arial" w:cs="Arial" w:eastAsia="Arial" w:hAnsi="Arial"/>
          <w:sz w:val="20"/>
          <w:szCs w:val="20"/>
          <w:color w:val="000000"/>
        </w:rPr>
        <w:t>analysis.</w:t>
      </w:r>
    </w:p>
    <w:p>
      <w:pPr>
        <w:spacing w:after="0" w:line="88" w:lineRule="exact"/>
        <w:rPr>
          <w:sz w:val="20"/>
          <w:szCs w:val="20"/>
          <w:color w:val="auto"/>
        </w:rPr>
      </w:pPr>
    </w:p>
    <w:p>
      <w:pPr>
        <w:jc w:val="both"/>
        <w:ind w:left="160" w:right="3740"/>
        <w:spacing w:after="0" w:line="235" w:lineRule="auto"/>
        <w:rPr>
          <w:sz w:val="20"/>
          <w:szCs w:val="20"/>
          <w:color w:val="auto"/>
        </w:rPr>
      </w:pPr>
      <w:r>
        <w:rPr>
          <w:rFonts w:ascii="Arial" w:cs="Arial" w:eastAsia="Arial" w:hAnsi="Arial"/>
          <w:sz w:val="20"/>
          <w:szCs w:val="20"/>
          <w:b w:val="1"/>
          <w:bCs w:val="1"/>
          <w:color w:val="0033A0"/>
        </w:rPr>
        <w:t xml:space="preserve">Annual Incentive </w:t>
      </w:r>
      <w:r>
        <w:rPr>
          <w:rFonts w:ascii="Arial" w:cs="Arial" w:eastAsia="Arial" w:hAnsi="Arial"/>
          <w:sz w:val="20"/>
          <w:szCs w:val="20"/>
          <w:color w:val="000000"/>
        </w:rPr>
        <w:t>– Awarded 25 points for the 2019 STIP performance year as</w:t>
      </w:r>
      <w:r>
        <w:rPr>
          <w:rFonts w:ascii="Arial" w:cs="Arial" w:eastAsia="Arial" w:hAnsi="Arial"/>
          <w:sz w:val="20"/>
          <w:szCs w:val="20"/>
          <w:b w:val="1"/>
          <w:bCs w:val="1"/>
          <w:color w:val="0033A0"/>
        </w:rPr>
        <w:t xml:space="preserve"> </w:t>
      </w:r>
      <w:r>
        <w:rPr>
          <w:rFonts w:ascii="Arial" w:cs="Arial" w:eastAsia="Arial" w:hAnsi="Arial"/>
          <w:sz w:val="20"/>
          <w:szCs w:val="20"/>
          <w:color w:val="000000"/>
        </w:rPr>
        <w:t>Mr. Batey stepped down from his position as Executive Vice President and President, North America effective April 1, 2019, and served as an advisor through his retirement on March 1, 2020.</w:t>
      </w:r>
    </w:p>
    <w:p>
      <w:pPr>
        <w:spacing w:after="0" w:line="102" w:lineRule="exact"/>
        <w:rPr>
          <w:sz w:val="20"/>
          <w:szCs w:val="20"/>
          <w:color w:val="auto"/>
        </w:rPr>
      </w:pPr>
    </w:p>
    <w:p>
      <w:pPr>
        <w:jc w:val="both"/>
        <w:ind w:left="160" w:right="3740"/>
        <w:spacing w:after="0" w:line="254" w:lineRule="auto"/>
        <w:rPr>
          <w:sz w:val="20"/>
          <w:szCs w:val="20"/>
          <w:color w:val="auto"/>
        </w:rPr>
      </w:pPr>
      <w:r>
        <w:rPr>
          <w:rFonts w:ascii="Arial" w:cs="Arial" w:eastAsia="Arial" w:hAnsi="Arial"/>
          <w:sz w:val="20"/>
          <w:szCs w:val="20"/>
          <w:b w:val="1"/>
          <w:bCs w:val="1"/>
          <w:color w:val="0033A0"/>
        </w:rPr>
        <w:t xml:space="preserve">Long-Term Incentive </w:t>
      </w:r>
      <w:r>
        <w:rPr>
          <w:rFonts w:ascii="Arial" w:cs="Arial" w:eastAsia="Arial" w:hAnsi="Arial"/>
          <w:sz w:val="20"/>
          <w:szCs w:val="20"/>
          <w:color w:val="000000"/>
        </w:rPr>
        <w:t>– In February 2019, awarded an annual LTIP grant of $2.69</w:t>
      </w:r>
      <w:r>
        <w:rPr>
          <w:rFonts w:ascii="Arial" w:cs="Arial" w:eastAsia="Arial" w:hAnsi="Arial"/>
          <w:sz w:val="20"/>
          <w:szCs w:val="20"/>
          <w:b w:val="1"/>
          <w:bCs w:val="1"/>
          <w:color w:val="0033A0"/>
        </w:rPr>
        <w:t xml:space="preserve"> </w:t>
      </w:r>
      <w:r>
        <w:rPr>
          <w:rFonts w:ascii="Arial" w:cs="Arial" w:eastAsia="Arial" w:hAnsi="Arial"/>
          <w:sz w:val="20"/>
          <w:szCs w:val="20"/>
          <w:color w:val="000000"/>
        </w:rPr>
        <w:t>million, consisting of 75% PSUs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-146685</wp:posOffset>
            </wp:positionV>
            <wp:extent cx="1087120" cy="23780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87120" cy="2378075"/>
                    </a:xfrm>
                    <a:prstGeom prst="rect">
                      <a:avLst/>
                    </a:prstGeom>
                    <a:noFill/>
                  </pic:spPr>
                </pic:pic>
              </a:graphicData>
            </a:graphic>
          </wp:anchor>
        </w:drawing>
      </w:r>
    </w:p>
    <w:p>
      <w:pPr>
        <w:spacing w:after="0" w:line="79" w:lineRule="exact"/>
        <w:rPr>
          <w:sz w:val="20"/>
          <w:szCs w:val="20"/>
          <w:color w:val="auto"/>
        </w:rPr>
      </w:pPr>
    </w:p>
    <w:p>
      <w:pPr>
        <w:ind w:left="160" w:right="3780"/>
        <w:spacing w:after="0" w:line="234" w:lineRule="auto"/>
        <w:rPr>
          <w:sz w:val="20"/>
          <w:szCs w:val="20"/>
          <w:color w:val="auto"/>
        </w:rPr>
      </w:pPr>
      <w:r>
        <w:rPr>
          <w:rFonts w:ascii="Arial" w:cs="Arial" w:eastAsia="Arial" w:hAnsi="Arial"/>
          <w:sz w:val="20"/>
          <w:szCs w:val="20"/>
          <w:color w:val="auto"/>
        </w:rPr>
        <w:t>Total compensation for Mr. Batey in 2019, including salary, STIP, and LTIP awards, is displayed below.</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580" w:type="dxa"/>
            <w:vAlign w:val="bottom"/>
            <w:tcBorders>
              <w:top w:val="single" w:sz="8" w:color="00A1DF"/>
            </w:tcBorders>
          </w:tcPr>
          <w:p>
            <w:pPr>
              <w:ind w:left="20"/>
              <w:spacing w:after="0"/>
              <w:rPr>
                <w:sz w:val="20"/>
                <w:szCs w:val="20"/>
                <w:color w:val="auto"/>
              </w:rPr>
            </w:pPr>
            <w:r>
              <w:rPr>
                <w:rFonts w:ascii="Arial" w:cs="Arial" w:eastAsia="Arial" w:hAnsi="Arial"/>
                <w:sz w:val="16"/>
                <w:szCs w:val="16"/>
                <w:b w:val="1"/>
                <w:bCs w:val="1"/>
                <w:color w:val="00A1DF"/>
              </w:rPr>
              <w:t>Pay Element</w:t>
            </w:r>
          </w:p>
        </w:tc>
        <w:tc>
          <w:tcPr>
            <w:tcW w:w="3780" w:type="dxa"/>
            <w:vAlign w:val="bottom"/>
            <w:tcBorders>
              <w:top w:val="single" w:sz="8" w:color="00A1DF"/>
            </w:tcBorders>
          </w:tcPr>
          <w:p>
            <w:pPr>
              <w:ind w:left="300"/>
              <w:spacing w:after="0"/>
              <w:rPr>
                <w:sz w:val="20"/>
                <w:szCs w:val="20"/>
                <w:color w:val="auto"/>
              </w:rPr>
            </w:pPr>
            <w:r>
              <w:rPr>
                <w:rFonts w:ascii="Arial" w:cs="Arial" w:eastAsia="Arial" w:hAnsi="Arial"/>
                <w:sz w:val="16"/>
                <w:szCs w:val="16"/>
                <w:b w:val="1"/>
                <w:bCs w:val="1"/>
                <w:color w:val="00A1DF"/>
              </w:rPr>
              <w:t>Majority of Pay Is At-Risk</w:t>
            </w:r>
          </w:p>
        </w:tc>
        <w:tc>
          <w:tcPr>
            <w:tcW w:w="1840" w:type="dxa"/>
            <w:vAlign w:val="bottom"/>
            <w:tcBorders>
              <w:top w:val="single" w:sz="8" w:color="00A1DF"/>
            </w:tcBorders>
          </w:tcPr>
          <w:p>
            <w:pPr>
              <w:jc w:val="right"/>
              <w:spacing w:after="0"/>
              <w:rPr>
                <w:sz w:val="20"/>
                <w:szCs w:val="20"/>
                <w:color w:val="auto"/>
              </w:rPr>
            </w:pPr>
            <w:r>
              <w:rPr>
                <w:rFonts w:ascii="Arial" w:cs="Arial" w:eastAsia="Arial" w:hAnsi="Arial"/>
                <w:sz w:val="16"/>
                <w:szCs w:val="16"/>
                <w:b w:val="1"/>
                <w:bCs w:val="1"/>
                <w:color w:val="00A1DF"/>
              </w:rPr>
              <w:t>Awarded Value</w:t>
            </w:r>
          </w:p>
        </w:tc>
      </w:tr>
      <w:tr>
        <w:trPr>
          <w:trHeight w:val="68"/>
        </w:trPr>
        <w:tc>
          <w:tcPr>
            <w:tcW w:w="1580" w:type="dxa"/>
            <w:vAlign w:val="bottom"/>
            <w:tcBorders>
              <w:bottom w:val="single" w:sz="8" w:color="00A1DF"/>
            </w:tcBorders>
          </w:tcPr>
          <w:p>
            <w:pPr>
              <w:spacing w:after="0"/>
              <w:rPr>
                <w:sz w:val="5"/>
                <w:szCs w:val="5"/>
                <w:color w:val="auto"/>
              </w:rPr>
            </w:pPr>
          </w:p>
        </w:tc>
        <w:tc>
          <w:tcPr>
            <w:tcW w:w="3780" w:type="dxa"/>
            <w:vAlign w:val="bottom"/>
            <w:tcBorders>
              <w:bottom w:val="single" w:sz="8" w:color="00A1DF"/>
            </w:tcBorders>
          </w:tcPr>
          <w:p>
            <w:pPr>
              <w:spacing w:after="0"/>
              <w:rPr>
                <w:sz w:val="5"/>
                <w:szCs w:val="5"/>
                <w:color w:val="auto"/>
              </w:rPr>
            </w:pPr>
          </w:p>
        </w:tc>
        <w:tc>
          <w:tcPr>
            <w:tcW w:w="1840" w:type="dxa"/>
            <w:vAlign w:val="bottom"/>
            <w:tcBorders>
              <w:bottom w:val="single" w:sz="8" w:color="00A1DF"/>
            </w:tcBorders>
          </w:tcPr>
          <w:p>
            <w:pPr>
              <w:spacing w:after="0"/>
              <w:rPr>
                <w:sz w:val="5"/>
                <w:szCs w:val="5"/>
                <w:color w:val="auto"/>
              </w:rPr>
            </w:pPr>
          </w:p>
        </w:tc>
      </w:tr>
      <w:tr>
        <w:trPr>
          <w:trHeight w:val="255"/>
        </w:trPr>
        <w:tc>
          <w:tcPr>
            <w:tcW w:w="1580" w:type="dxa"/>
            <w:vAlign w:val="bottom"/>
          </w:tcPr>
          <w:p>
            <w:pPr>
              <w:ind w:left="100"/>
              <w:spacing w:after="0"/>
              <w:rPr>
                <w:sz w:val="20"/>
                <w:szCs w:val="20"/>
                <w:color w:val="auto"/>
              </w:rPr>
            </w:pPr>
            <w:r>
              <w:rPr>
                <w:rFonts w:ascii="Arial" w:cs="Arial" w:eastAsia="Arial" w:hAnsi="Arial"/>
                <w:sz w:val="16"/>
                <w:szCs w:val="16"/>
                <w:color w:val="auto"/>
              </w:rPr>
              <w:t>Base Salary</w:t>
            </w:r>
          </w:p>
        </w:tc>
        <w:tc>
          <w:tcPr>
            <w:tcW w:w="3780" w:type="dxa"/>
            <w:vAlign w:val="bottom"/>
          </w:tcPr>
          <w:p>
            <w:pPr>
              <w:ind w:left="300"/>
              <w:spacing w:after="0"/>
              <w:rPr>
                <w:sz w:val="20"/>
                <w:szCs w:val="20"/>
                <w:color w:val="auto"/>
              </w:rPr>
            </w:pPr>
            <w:r>
              <w:rPr>
                <w:rFonts w:ascii="Arial" w:cs="Arial" w:eastAsia="Arial" w:hAnsi="Arial"/>
                <w:sz w:val="16"/>
                <w:szCs w:val="16"/>
                <w:color w:val="auto"/>
              </w:rPr>
              <w:t>Only Fixed Pay Element</w:t>
            </w:r>
          </w:p>
        </w:tc>
        <w:tc>
          <w:tcPr>
            <w:tcW w:w="1840" w:type="dxa"/>
            <w:vAlign w:val="bottom"/>
          </w:tcPr>
          <w:p>
            <w:pPr>
              <w:jc w:val="right"/>
              <w:spacing w:after="0"/>
              <w:rPr>
                <w:sz w:val="20"/>
                <w:szCs w:val="20"/>
                <w:color w:val="auto"/>
              </w:rPr>
            </w:pPr>
            <w:r>
              <w:rPr>
                <w:rFonts w:ascii="Arial" w:cs="Arial" w:eastAsia="Arial" w:hAnsi="Arial"/>
                <w:sz w:val="16"/>
                <w:szCs w:val="16"/>
                <w:color w:val="auto"/>
              </w:rPr>
              <w:t>$1,025,000</w:t>
            </w:r>
          </w:p>
        </w:tc>
      </w:tr>
      <w:tr>
        <w:trPr>
          <w:trHeight w:val="72"/>
        </w:trPr>
        <w:tc>
          <w:tcPr>
            <w:tcW w:w="158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255"/>
        </w:trPr>
        <w:tc>
          <w:tcPr>
            <w:tcW w:w="1580" w:type="dxa"/>
            <w:vAlign w:val="bottom"/>
          </w:tcPr>
          <w:p>
            <w:pPr>
              <w:ind w:left="100"/>
              <w:spacing w:after="0"/>
              <w:rPr>
                <w:sz w:val="20"/>
                <w:szCs w:val="20"/>
                <w:color w:val="auto"/>
              </w:rPr>
            </w:pPr>
            <w:r>
              <w:rPr>
                <w:rFonts w:ascii="Arial" w:cs="Arial" w:eastAsia="Arial" w:hAnsi="Arial"/>
                <w:sz w:val="16"/>
                <w:szCs w:val="16"/>
                <w:color w:val="auto"/>
              </w:rPr>
              <w:t>STIP</w:t>
            </w:r>
          </w:p>
        </w:tc>
        <w:tc>
          <w:tcPr>
            <w:tcW w:w="3780" w:type="dxa"/>
            <w:vAlign w:val="bottom"/>
          </w:tcPr>
          <w:p>
            <w:pPr>
              <w:ind w:left="300"/>
              <w:spacing w:after="0"/>
              <w:rPr>
                <w:sz w:val="20"/>
                <w:szCs w:val="20"/>
                <w:color w:val="auto"/>
              </w:rPr>
            </w:pPr>
            <w:r>
              <w:rPr>
                <w:rFonts w:ascii="Arial" w:cs="Arial" w:eastAsia="Arial" w:hAnsi="Arial"/>
                <w:sz w:val="16"/>
                <w:szCs w:val="16"/>
                <w:color w:val="auto"/>
              </w:rPr>
              <w:t>Performance to Metrics</w:t>
            </w:r>
          </w:p>
        </w:tc>
        <w:tc>
          <w:tcPr>
            <w:tcW w:w="1840" w:type="dxa"/>
            <w:vAlign w:val="bottom"/>
          </w:tcPr>
          <w:p>
            <w:pPr>
              <w:jc w:val="right"/>
              <w:spacing w:after="0"/>
              <w:rPr>
                <w:sz w:val="20"/>
                <w:szCs w:val="20"/>
                <w:color w:val="auto"/>
              </w:rPr>
            </w:pPr>
            <w:r>
              <w:rPr>
                <w:rFonts w:ascii="Arial" w:cs="Arial" w:eastAsia="Arial" w:hAnsi="Arial"/>
                <w:sz w:val="16"/>
                <w:szCs w:val="16"/>
                <w:color w:val="auto"/>
              </w:rPr>
              <w:t>$730,300</w:t>
            </w:r>
          </w:p>
        </w:tc>
      </w:tr>
      <w:tr>
        <w:trPr>
          <w:trHeight w:val="72"/>
        </w:trPr>
        <w:tc>
          <w:tcPr>
            <w:tcW w:w="158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328"/>
        </w:trPr>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(1)</w:t>
            </w: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Performance to Metrics and Stock Price</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$2,319,594</w:t>
            </w:r>
          </w:p>
        </w:tc>
      </w:tr>
      <w:tr>
        <w:trPr>
          <w:trHeight w:val="328"/>
        </w:trPr>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Stock Options</w:t>
            </w:r>
            <w:r>
              <w:rPr>
                <w:rFonts w:ascii="Arial" w:cs="Arial" w:eastAsia="Arial" w:hAnsi="Arial"/>
                <w:sz w:val="27"/>
                <w:szCs w:val="27"/>
                <w:color w:val="auto"/>
                <w:vertAlign w:val="superscript"/>
              </w:rPr>
              <w:t>(2)</w:t>
            </w:r>
          </w:p>
        </w:tc>
        <w:tc>
          <w:tcPr>
            <w:tcW w:w="37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Performance to Stock Price</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$673,425</w:t>
            </w:r>
          </w:p>
        </w:tc>
      </w:tr>
      <w:tr>
        <w:trPr>
          <w:trHeight w:val="255"/>
        </w:trPr>
        <w:tc>
          <w:tcPr>
            <w:tcW w:w="1580" w:type="dxa"/>
            <w:vAlign w:val="bottom"/>
          </w:tcPr>
          <w:p>
            <w:pPr>
              <w:ind w:left="100"/>
              <w:spacing w:after="0"/>
              <w:rPr>
                <w:sz w:val="20"/>
                <w:szCs w:val="20"/>
                <w:color w:val="auto"/>
              </w:rPr>
            </w:pPr>
            <w:r>
              <w:rPr>
                <w:rFonts w:ascii="Arial" w:cs="Arial" w:eastAsia="Arial" w:hAnsi="Arial"/>
                <w:sz w:val="16"/>
                <w:szCs w:val="16"/>
                <w:b w:val="1"/>
                <w:bCs w:val="1"/>
                <w:color w:val="0033A0"/>
              </w:rPr>
              <w:t>TOTAL</w:t>
            </w:r>
          </w:p>
        </w:tc>
        <w:tc>
          <w:tcPr>
            <w:tcW w:w="37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0033A0"/>
              </w:rPr>
              <w:t>$4,748,319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45720</wp:posOffset>
            </wp:positionV>
            <wp:extent cx="45688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37" w:lineRule="exact"/>
        <w:rPr>
          <w:sz w:val="20"/>
          <w:szCs w:val="20"/>
          <w:color w:val="auto"/>
        </w:rPr>
      </w:pPr>
    </w:p>
    <w:p>
      <w:pPr>
        <w:jc w:val="both"/>
        <w:ind w:left="440" w:right="3740" w:hanging="273"/>
        <w:spacing w:after="0" w:line="246" w:lineRule="auto"/>
        <w:tabs>
          <w:tab w:leader="none" w:pos="44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PSUs are subject to performance vesting; value reflects grant date fair value at target performance for Relative ROIC-adjusted awards and reflects the accounting value based on the results from the Monte Carlo analysis for Relative TSR awards.</w:t>
      </w:r>
    </w:p>
    <w:p>
      <w:pPr>
        <w:ind w:left="440" w:hanging="273"/>
        <w:spacing w:after="0"/>
        <w:tabs>
          <w:tab w:leader="none" w:pos="44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Stock Options are subject to time-based vesting.</w:t>
      </w:r>
    </w:p>
    <w:p>
      <w:pPr>
        <w:spacing w:after="0" w:line="66"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Awarded value reflects the amount included in the</w:t>
      </w:r>
    </w:p>
    <w:p>
      <w:pPr>
        <w:spacing w:after="0" w:line="13" w:lineRule="exact"/>
        <w:rPr>
          <w:sz w:val="20"/>
          <w:szCs w:val="20"/>
          <w:color w:val="auto"/>
        </w:rPr>
      </w:pPr>
    </w:p>
    <w:p>
      <w:pPr>
        <w:ind w:left="7700"/>
        <w:spacing w:after="0"/>
        <w:rPr>
          <w:sz w:val="20"/>
          <w:szCs w:val="20"/>
          <w:color w:val="auto"/>
        </w:rPr>
      </w:pPr>
      <w:r>
        <w:rPr>
          <w:rFonts w:ascii="Arial" w:cs="Arial" w:eastAsia="Arial" w:hAnsi="Arial"/>
          <w:sz w:val="14"/>
          <w:szCs w:val="14"/>
          <w:i w:val="1"/>
          <w:iCs w:val="1"/>
          <w:color w:val="auto"/>
        </w:rPr>
        <w:t>Summary Compensation Table, excluding change in</w:t>
      </w:r>
    </w:p>
    <w:p>
      <w:pPr>
        <w:ind w:left="7700"/>
        <w:spacing w:after="0"/>
        <w:rPr>
          <w:sz w:val="20"/>
          <w:szCs w:val="20"/>
          <w:color w:val="auto"/>
        </w:rPr>
      </w:pPr>
      <w:r>
        <w:rPr>
          <w:rFonts w:ascii="Arial" w:cs="Arial" w:eastAsia="Arial" w:hAnsi="Arial"/>
          <w:sz w:val="14"/>
          <w:szCs w:val="14"/>
          <w:i w:val="1"/>
          <w:iCs w:val="1"/>
          <w:color w:val="auto"/>
        </w:rPr>
        <w:t>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183515</wp:posOffset>
            </wp:positionV>
            <wp:extent cx="6793865" cy="1016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57</w:t>
      </w:r>
    </w:p>
    <w:p>
      <w:pPr>
        <w:sectPr>
          <w:pgSz w:w="11900" w:h="16838" w:orient="portrait"/>
          <w:cols w:equalWidth="0" w:num="1">
            <w:col w:w="11100"/>
          </w:cols>
          <w:pgMar w:left="320" w:top="456"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Compensation Policies and Governance Practices</w:t>
      </w:r>
    </w:p>
    <w:p>
      <w:pPr>
        <w:spacing w:after="0" w:line="155" w:lineRule="exact"/>
        <w:rPr>
          <w:sz w:val="20"/>
          <w:szCs w:val="20"/>
          <w:color w:val="auto"/>
        </w:rPr>
      </w:pPr>
    </w:p>
    <w:p>
      <w:pPr>
        <w:ind w:left="700" w:hanging="533"/>
        <w:spacing w:after="0"/>
        <w:tabs>
          <w:tab w:leader="none" w:pos="700" w:val="left"/>
        </w:tabs>
        <w:numPr>
          <w:ilvl w:val="0"/>
          <w:numId w:val="93"/>
        </w:numPr>
        <w:rPr>
          <w:rFonts w:ascii="Arial" w:cs="Arial" w:eastAsia="Arial" w:hAnsi="Arial"/>
          <w:sz w:val="25"/>
          <w:szCs w:val="25"/>
          <w:color w:val="0033A0"/>
        </w:rPr>
      </w:pPr>
      <w:r>
        <w:rPr>
          <w:rFonts w:ascii="Arial" w:cs="Arial" w:eastAsia="Arial" w:hAnsi="Arial"/>
          <w:sz w:val="25"/>
          <w:szCs w:val="25"/>
          <w:color w:val="auto"/>
        </w:rPr>
        <w:t>Stock Ownership Requirements</w:t>
      </w:r>
    </w:p>
    <w:p>
      <w:pPr>
        <w:spacing w:after="0" w:line="149"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The Company requires our senior leaders to own GM stock to align their interests with those of our shareholders. The stock ownership requirements:</w:t>
      </w:r>
    </w:p>
    <w:p>
      <w:pPr>
        <w:spacing w:after="0" w:line="60" w:lineRule="exact"/>
        <w:rPr>
          <w:sz w:val="20"/>
          <w:szCs w:val="20"/>
          <w:color w:val="auto"/>
        </w:rPr>
      </w:pPr>
    </w:p>
    <w:p>
      <w:pPr>
        <w:ind w:left="380" w:hanging="213"/>
        <w:spacing w:after="0"/>
        <w:tabs>
          <w:tab w:leader="none" w:pos="380" w:val="left"/>
        </w:tabs>
        <w:numPr>
          <w:ilvl w:val="0"/>
          <w:numId w:val="94"/>
        </w:numPr>
        <w:rPr>
          <w:rFonts w:ascii="Arial" w:cs="Arial" w:eastAsia="Arial" w:hAnsi="Arial"/>
          <w:sz w:val="20"/>
          <w:szCs w:val="20"/>
          <w:color w:val="0033A0"/>
        </w:rPr>
      </w:pPr>
      <w:r>
        <w:rPr>
          <w:rFonts w:ascii="Arial" w:cs="Arial" w:eastAsia="Arial" w:hAnsi="Arial"/>
          <w:sz w:val="20"/>
          <w:szCs w:val="20"/>
          <w:color w:val="auto"/>
        </w:rPr>
        <w:t>Cover all senior leaders</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94"/>
        </w:numPr>
        <w:rPr>
          <w:rFonts w:ascii="Arial" w:cs="Arial" w:eastAsia="Arial" w:hAnsi="Arial"/>
          <w:sz w:val="20"/>
          <w:szCs w:val="20"/>
          <w:color w:val="0033A0"/>
        </w:rPr>
      </w:pPr>
      <w:r>
        <w:rPr>
          <w:rFonts w:ascii="Arial" w:cs="Arial" w:eastAsia="Arial" w:hAnsi="Arial"/>
          <w:sz w:val="20"/>
          <w:szCs w:val="20"/>
          <w:color w:val="auto"/>
        </w:rPr>
        <w:t>Set five years as the time frame to meet ownership requirements</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94"/>
        </w:numPr>
        <w:rPr>
          <w:rFonts w:ascii="Arial" w:cs="Arial" w:eastAsia="Arial" w:hAnsi="Arial"/>
          <w:sz w:val="20"/>
          <w:szCs w:val="20"/>
          <w:color w:val="0033A0"/>
        </w:rPr>
      </w:pPr>
      <w:r>
        <w:rPr>
          <w:rFonts w:ascii="Arial" w:cs="Arial" w:eastAsia="Arial" w:hAnsi="Arial"/>
          <w:sz w:val="20"/>
          <w:szCs w:val="20"/>
          <w:color w:val="auto"/>
        </w:rPr>
        <w:t>Require senior leaders to hold vested shares to maintain ownership requirements</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94"/>
        </w:numPr>
        <w:rPr>
          <w:rFonts w:ascii="Arial" w:cs="Arial" w:eastAsia="Arial" w:hAnsi="Arial"/>
          <w:sz w:val="20"/>
          <w:szCs w:val="20"/>
          <w:color w:val="0033A0"/>
        </w:rPr>
      </w:pPr>
      <w:r>
        <w:rPr>
          <w:rFonts w:ascii="Arial" w:cs="Arial" w:eastAsia="Arial" w:hAnsi="Arial"/>
          <w:sz w:val="20"/>
          <w:szCs w:val="20"/>
          <w:color w:val="auto"/>
        </w:rPr>
        <w:t>Establish a multiple of each executive’s base salary on the date they are first covered</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94"/>
        </w:numPr>
        <w:rPr>
          <w:rFonts w:ascii="Arial" w:cs="Arial" w:eastAsia="Arial" w:hAnsi="Arial"/>
          <w:sz w:val="19"/>
          <w:szCs w:val="19"/>
          <w:color w:val="0033A0"/>
        </w:rPr>
      </w:pPr>
      <w:r>
        <w:rPr>
          <w:rFonts w:ascii="Arial" w:cs="Arial" w:eastAsia="Arial" w:hAnsi="Arial"/>
          <w:sz w:val="19"/>
          <w:szCs w:val="19"/>
          <w:color w:val="auto"/>
        </w:rPr>
        <w:t>Make it possible to meet ownership requirements by owning either a multiple of base salary or a required number of shares</w:t>
      </w:r>
    </w:p>
    <w:p>
      <w:pPr>
        <w:spacing w:after="0" w:line="75" w:lineRule="exact"/>
        <w:rPr>
          <w:rFonts w:ascii="Arial" w:cs="Arial" w:eastAsia="Arial" w:hAnsi="Arial"/>
          <w:sz w:val="19"/>
          <w:szCs w:val="19"/>
          <w:color w:val="0033A0"/>
        </w:rPr>
      </w:pPr>
    </w:p>
    <w:p>
      <w:pPr>
        <w:ind w:left="380" w:hanging="213"/>
        <w:spacing w:after="0"/>
        <w:tabs>
          <w:tab w:leader="none" w:pos="380" w:val="left"/>
        </w:tabs>
        <w:numPr>
          <w:ilvl w:val="0"/>
          <w:numId w:val="94"/>
        </w:numPr>
        <w:rPr>
          <w:rFonts w:ascii="Arial" w:cs="Arial" w:eastAsia="Arial" w:hAnsi="Arial"/>
          <w:sz w:val="20"/>
          <w:szCs w:val="20"/>
          <w:color w:val="0033A0"/>
        </w:rPr>
      </w:pPr>
      <w:r>
        <w:rPr>
          <w:rFonts w:ascii="Arial" w:cs="Arial" w:eastAsia="Arial" w:hAnsi="Arial"/>
          <w:sz w:val="20"/>
          <w:szCs w:val="20"/>
          <w:color w:val="auto"/>
        </w:rPr>
        <w:t>Count only actual share holdings and unvested RSUs</w:t>
      </w:r>
    </w:p>
    <w:p>
      <w:pPr>
        <w:spacing w:after="0" w:line="118"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table below shows the stock ownership requirement by level in the Company. As of December 31, 2019, all NEOs have met or are on track to meet stock ownership requirements by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142240</wp:posOffset>
            </wp:positionV>
            <wp:extent cx="5137785" cy="9683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3778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hanging="533"/>
        <w:spacing w:after="0"/>
        <w:tabs>
          <w:tab w:leader="none" w:pos="700" w:val="left"/>
        </w:tabs>
        <w:numPr>
          <w:ilvl w:val="0"/>
          <w:numId w:val="95"/>
        </w:numPr>
        <w:rPr>
          <w:rFonts w:ascii="Arial" w:cs="Arial" w:eastAsia="Arial" w:hAnsi="Arial"/>
          <w:sz w:val="25"/>
          <w:szCs w:val="25"/>
          <w:color w:val="0033A0"/>
        </w:rPr>
      </w:pPr>
      <w:r>
        <w:rPr>
          <w:rFonts w:ascii="Arial" w:cs="Arial" w:eastAsia="Arial" w:hAnsi="Arial"/>
          <w:sz w:val="25"/>
          <w:szCs w:val="25"/>
          <w:color w:val="auto"/>
        </w:rPr>
        <w:t>Compensation Risk Assessment</w:t>
      </w:r>
    </w:p>
    <w:p>
      <w:pPr>
        <w:spacing w:after="0" w:line="14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Compensation Committee annually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w:t>
      </w:r>
    </w:p>
    <w:p>
      <w:pPr>
        <w:spacing w:after="0" w:line="128"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The annual risk review, completed on December 9, 2019, with assistance from our human resources, audit, legal, and strategic risk management organizations, involved analyzing our current compensation programs in relation to risk. Our analysis concluded that our compensation programs include the following risk mitigation features: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3A0"/>
        </w:rPr>
        <w:t xml:space="preserve">Mix of Pay Elements </w:t>
      </w:r>
      <w:r>
        <w:rPr>
          <w:rFonts w:ascii="Arial" w:cs="Arial" w:eastAsia="Arial" w:hAnsi="Arial"/>
          <w:sz w:val="20"/>
          <w:szCs w:val="20"/>
          <w:color w:val="000000"/>
        </w:rPr>
        <w:t>– Base salary, STIP, PSUs, and Stock Options are included in the executive compensation program.</w:t>
      </w:r>
    </w:p>
    <w:p>
      <w:pPr>
        <w:spacing w:after="0" w:line="13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Short-Term and Long-Term Programs </w:t>
      </w:r>
      <w:r>
        <w:rPr>
          <w:rFonts w:ascii="Arial" w:cs="Arial" w:eastAsia="Arial" w:hAnsi="Arial"/>
          <w:sz w:val="20"/>
          <w:szCs w:val="20"/>
          <w:color w:val="000000"/>
        </w:rPr>
        <w:t>– The mix of our short-term and long-term compensation programs appropriately</w:t>
      </w:r>
      <w:r>
        <w:rPr>
          <w:rFonts w:ascii="Arial" w:cs="Arial" w:eastAsia="Arial" w:hAnsi="Arial"/>
          <w:sz w:val="20"/>
          <w:szCs w:val="20"/>
          <w:b w:val="1"/>
          <w:bCs w:val="1"/>
          <w:color w:val="0033A0"/>
        </w:rPr>
        <w:t xml:space="preserve"> </w:t>
      </w:r>
      <w:r>
        <w:rPr>
          <w:rFonts w:ascii="Arial" w:cs="Arial" w:eastAsia="Arial" w:hAnsi="Arial"/>
          <w:sz w:val="20"/>
          <w:szCs w:val="20"/>
          <w:color w:val="000000"/>
        </w:rPr>
        <w:t>reward employees while balancing risk through the delayed payment of long-term awards.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Adjustments to Compensation </w:t>
      </w:r>
      <w:r>
        <w:rPr>
          <w:rFonts w:ascii="Arial" w:cs="Arial" w:eastAsia="Arial" w:hAnsi="Arial"/>
          <w:sz w:val="20"/>
          <w:szCs w:val="20"/>
          <w:color w:val="000000"/>
        </w:rPr>
        <w:t>– Maximum payout caps are in place for incentive compensation and the Compensation</w:t>
      </w:r>
      <w:r>
        <w:rPr>
          <w:rFonts w:ascii="Arial" w:cs="Arial" w:eastAsia="Arial" w:hAnsi="Arial"/>
          <w:sz w:val="20"/>
          <w:szCs w:val="20"/>
          <w:b w:val="1"/>
          <w:bCs w:val="1"/>
          <w:color w:val="0033A0"/>
        </w:rPr>
        <w:t xml:space="preserve"> </w:t>
      </w:r>
      <w:r>
        <w:rPr>
          <w:rFonts w:ascii="Arial" w:cs="Arial" w:eastAsia="Arial" w:hAnsi="Arial"/>
          <w:sz w:val="20"/>
          <w:szCs w:val="20"/>
          <w:color w:val="000000"/>
        </w:rPr>
        <w:t>Committee has the ability to apply negative discretion.</w:t>
      </w:r>
    </w:p>
    <w:p>
      <w:pPr>
        <w:spacing w:after="0" w:line="75"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Compensation Committee Oversight </w:t>
      </w:r>
      <w:r>
        <w:rPr>
          <w:rFonts w:ascii="Arial" w:cs="Arial" w:eastAsia="Arial" w:hAnsi="Arial"/>
          <w:sz w:val="20"/>
          <w:szCs w:val="20"/>
          <w:color w:val="000000"/>
        </w:rPr>
        <w:t>– Our Compensation Committee reviews plan performance and approves all</w:t>
      </w:r>
      <w:r>
        <w:rPr>
          <w:rFonts w:ascii="Arial" w:cs="Arial" w:eastAsia="Arial" w:hAnsi="Arial"/>
          <w:sz w:val="20"/>
          <w:szCs w:val="20"/>
          <w:b w:val="1"/>
          <w:bCs w:val="1"/>
          <w:color w:val="0033A0"/>
        </w:rPr>
        <w:t xml:space="preserve"> </w:t>
      </w:r>
      <w:r>
        <w:rPr>
          <w:rFonts w:ascii="Arial" w:cs="Arial" w:eastAsia="Arial" w:hAnsi="Arial"/>
          <w:sz w:val="20"/>
          <w:szCs w:val="20"/>
          <w:color w:val="000000"/>
        </w:rPr>
        <w:t>executive compensation programs and payouts.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Multiple Performance Measures </w:t>
      </w:r>
      <w:r>
        <w:rPr>
          <w:rFonts w:ascii="Arial" w:cs="Arial" w:eastAsia="Arial" w:hAnsi="Arial"/>
          <w:sz w:val="20"/>
          <w:szCs w:val="20"/>
          <w:color w:val="000000"/>
        </w:rPr>
        <w:t>– Multiple performance measures work together to balance risk in our incentive</w:t>
      </w:r>
      <w:r>
        <w:rPr>
          <w:rFonts w:ascii="Arial" w:cs="Arial" w:eastAsia="Arial" w:hAnsi="Arial"/>
          <w:sz w:val="20"/>
          <w:szCs w:val="20"/>
          <w:b w:val="1"/>
          <w:bCs w:val="1"/>
          <w:color w:val="0033A0"/>
        </w:rPr>
        <w:t xml:space="preserve"> </w:t>
      </w:r>
      <w:r>
        <w:rPr>
          <w:rFonts w:ascii="Arial" w:cs="Arial" w:eastAsia="Arial" w:hAnsi="Arial"/>
          <w:sz w:val="20"/>
          <w:szCs w:val="20"/>
          <w:color w:val="000000"/>
        </w:rPr>
        <w:t>compensation programs.</w:t>
      </w:r>
    </w:p>
    <w:p>
      <w:pPr>
        <w:spacing w:after="0" w:line="88"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Stock Ownership Requirements </w:t>
      </w:r>
      <w:r>
        <w:rPr>
          <w:rFonts w:ascii="Arial" w:cs="Arial" w:eastAsia="Arial" w:hAnsi="Arial"/>
          <w:sz w:val="20"/>
          <w:szCs w:val="20"/>
          <w:color w:val="000000"/>
        </w:rPr>
        <w:t>– All senior leaders are subject to stock ownership requirements of at least 1x their salary,</w:t>
      </w:r>
      <w:r>
        <w:rPr>
          <w:rFonts w:ascii="Arial" w:cs="Arial" w:eastAsia="Arial" w:hAnsi="Arial"/>
          <w:sz w:val="20"/>
          <w:szCs w:val="20"/>
          <w:b w:val="1"/>
          <w:bCs w:val="1"/>
          <w:color w:val="0033A0"/>
        </w:rPr>
        <w:t xml:space="preserve"> </w:t>
      </w:r>
      <w:r>
        <w:rPr>
          <w:rFonts w:ascii="Arial" w:cs="Arial" w:eastAsia="Arial" w:hAnsi="Arial"/>
          <w:sz w:val="20"/>
          <w:szCs w:val="20"/>
          <w:color w:val="000000"/>
        </w:rPr>
        <w:t>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73660</wp:posOffset>
            </wp:positionV>
            <wp:extent cx="6793865" cy="1016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58</w:t>
      </w:r>
    </w:p>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33A0"/>
        </w:rPr>
        <w:t xml:space="preserve">Clawback and Cancellation Provisions </w:t>
      </w:r>
      <w:r>
        <w:rPr>
          <w:rFonts w:ascii="Arial" w:cs="Arial" w:eastAsia="Arial" w:hAnsi="Arial"/>
          <w:sz w:val="20"/>
          <w:szCs w:val="20"/>
          <w:color w:val="000000"/>
        </w:rPr>
        <w:t>– All awards are subject to our Policy on Recoupment of Incentive Compensation,</w:t>
      </w:r>
      <w:r>
        <w:rPr>
          <w:rFonts w:ascii="Arial" w:cs="Arial" w:eastAsia="Arial" w:hAnsi="Arial"/>
          <w:sz w:val="20"/>
          <w:szCs w:val="20"/>
          <w:b w:val="1"/>
          <w:bCs w:val="1"/>
          <w:color w:val="0033A0"/>
        </w:rPr>
        <w:t xml:space="preserve"> </w:t>
      </w:r>
      <w:r>
        <w:rPr>
          <w:rFonts w:ascii="Arial" w:cs="Arial" w:eastAsia="Arial" w:hAnsi="Arial"/>
          <w:sz w:val="20"/>
          <w:szCs w:val="20"/>
          <w:color w:val="000000"/>
        </w:rPr>
        <w:t>as described below. In addition, cancellation provisions apply to all outstanding STIP and LTIP awards.</w:t>
      </w:r>
    </w:p>
    <w:p>
      <w:pPr>
        <w:spacing w:after="0" w:line="112"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In 2019, the Compensation Committee determined that our compensation programs have sufficient risk mitigation features and do not encourage or reward employees for engaging in excessive, imprudent, inappropriate, or unnecessary risk. Based on the Compensation Committee’s review, the Committee determined our compensation programs to be low risk.</w:t>
      </w:r>
    </w:p>
    <w:p>
      <w:pPr>
        <w:spacing w:after="0" w:line="320" w:lineRule="exact"/>
        <w:rPr>
          <w:sz w:val="20"/>
          <w:szCs w:val="20"/>
          <w:color w:val="auto"/>
        </w:rPr>
      </w:pPr>
    </w:p>
    <w:p>
      <w:pPr>
        <w:ind w:left="700" w:hanging="533"/>
        <w:spacing w:after="0"/>
        <w:tabs>
          <w:tab w:leader="none" w:pos="700" w:val="left"/>
        </w:tabs>
        <w:numPr>
          <w:ilvl w:val="0"/>
          <w:numId w:val="96"/>
        </w:numPr>
        <w:rPr>
          <w:rFonts w:ascii="Arial" w:cs="Arial" w:eastAsia="Arial" w:hAnsi="Arial"/>
          <w:sz w:val="25"/>
          <w:szCs w:val="25"/>
          <w:color w:val="0033A0"/>
        </w:rPr>
      </w:pPr>
      <w:r>
        <w:rPr>
          <w:rFonts w:ascii="Arial" w:cs="Arial" w:eastAsia="Arial" w:hAnsi="Arial"/>
          <w:sz w:val="25"/>
          <w:szCs w:val="25"/>
          <w:color w:val="auto"/>
        </w:rPr>
        <w:t>Policy on Recoupment of Incentive Compensation</w:t>
      </w:r>
    </w:p>
    <w:p>
      <w:pPr>
        <w:spacing w:after="0" w:line="115" w:lineRule="exact"/>
        <w:rPr>
          <w:sz w:val="20"/>
          <w:szCs w:val="20"/>
          <w:color w:val="auto"/>
        </w:rPr>
      </w:pPr>
    </w:p>
    <w:p>
      <w:pPr>
        <w:jc w:val="both"/>
        <w:ind w:left="160" w:right="20"/>
        <w:spacing w:after="0" w:line="229" w:lineRule="auto"/>
        <w:rPr>
          <w:sz w:val="20"/>
          <w:szCs w:val="20"/>
          <w:color w:val="auto"/>
        </w:rPr>
      </w:pPr>
      <w:r>
        <w:rPr>
          <w:rFonts w:ascii="Arial" w:cs="Arial" w:eastAsia="Arial" w:hAnsi="Arial"/>
          <w:sz w:val="20"/>
          <w:szCs w:val="20"/>
          <w:color w:val="auto"/>
        </w:rPr>
        <w:t xml:space="preserve">Under our Policy on Recoupment of Incentive Compensation (available on our website at </w:t>
      </w:r>
      <w:r>
        <w:rPr>
          <w:rFonts w:ascii="Arial" w:cs="Arial" w:eastAsia="Arial" w:hAnsi="Arial"/>
          <w:sz w:val="20"/>
          <w:szCs w:val="20"/>
          <w:i w:val="1"/>
          <w:iCs w:val="1"/>
          <w:color w:val="00A1DF"/>
        </w:rPr>
        <w:t>investor.gm.com/resources</w:t>
      </w:r>
      <w:r>
        <w:rPr>
          <w:rFonts w:ascii="Arial" w:cs="Arial" w:eastAsia="Arial" w:hAnsi="Arial"/>
          <w:sz w:val="20"/>
          <w:szCs w:val="20"/>
          <w:color w:val="auto"/>
        </w:rPr>
        <w:t>), our Compensation Committee is empowered to recoup (“clawback”) compensation paid to Executive Officers based on a materially inaccurate misstatement of earnings, revenues, gains, performance metrics, or other criteria. Financial statements or performance metrics will be treated as materially inaccurate when an employee knowingly engaged in providing inaccurate information or knowingly failed to correct information in a timely manner. The Compensation Committee may also cancel outstanding equity-based awards granted to any covered employee if that employee engages in conduct detrimental to the Company.</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00" w:type="dxa"/>
            <w:vAlign w:val="bottom"/>
            <w:tcBorders>
              <w:top w:val="single" w:sz="8" w:color="00A1DF"/>
            </w:tcBorders>
          </w:tcPr>
          <w:p>
            <w:pPr>
              <w:spacing w:after="0"/>
              <w:rPr>
                <w:sz w:val="18"/>
                <w:szCs w:val="18"/>
                <w:color w:val="auto"/>
              </w:rPr>
            </w:pPr>
          </w:p>
        </w:tc>
        <w:tc>
          <w:tcPr>
            <w:tcW w:w="3120" w:type="dxa"/>
            <w:vAlign w:val="bottom"/>
            <w:tcBorders>
              <w:top w:val="single" w:sz="8" w:color="00A1DF"/>
            </w:tcBorders>
          </w:tcPr>
          <w:p>
            <w:pPr>
              <w:spacing w:after="0"/>
              <w:rPr>
                <w:sz w:val="18"/>
                <w:szCs w:val="18"/>
                <w:color w:val="auto"/>
              </w:rPr>
            </w:pPr>
          </w:p>
        </w:tc>
        <w:tc>
          <w:tcPr>
            <w:tcW w:w="2860" w:type="dxa"/>
            <w:vAlign w:val="bottom"/>
            <w:tcBorders>
              <w:top w:val="single" w:sz="8" w:color="00A1DF"/>
            </w:tcBorders>
          </w:tcPr>
          <w:p>
            <w:pPr>
              <w:jc w:val="center"/>
              <w:spacing w:after="0" w:line="214" w:lineRule="exact"/>
              <w:rPr>
                <w:sz w:val="20"/>
                <w:szCs w:val="20"/>
                <w:color w:val="auto"/>
              </w:rPr>
            </w:pPr>
            <w:r>
              <w:rPr>
                <w:rFonts w:ascii="Arial" w:cs="Arial" w:eastAsia="Arial" w:hAnsi="Arial"/>
                <w:sz w:val="20"/>
                <w:szCs w:val="20"/>
                <w:b w:val="1"/>
                <w:bCs w:val="1"/>
                <w:color w:val="00A1DF"/>
                <w:w w:val="98"/>
              </w:rPr>
              <w:t>Cancellation and</w:t>
            </w:r>
          </w:p>
        </w:tc>
        <w:tc>
          <w:tcPr>
            <w:tcW w:w="2940" w:type="dxa"/>
            <w:vAlign w:val="bottom"/>
            <w:tcBorders>
              <w:top w:val="single" w:sz="8" w:color="00A1DF"/>
            </w:tcBorders>
          </w:tcPr>
          <w:p>
            <w:pPr>
              <w:jc w:val="center"/>
              <w:ind w:left="2"/>
              <w:spacing w:after="0" w:line="214" w:lineRule="exact"/>
              <w:rPr>
                <w:sz w:val="20"/>
                <w:szCs w:val="20"/>
                <w:color w:val="auto"/>
              </w:rPr>
            </w:pPr>
            <w:r>
              <w:rPr>
                <w:rFonts w:ascii="Arial" w:cs="Arial" w:eastAsia="Arial" w:hAnsi="Arial"/>
                <w:sz w:val="20"/>
                <w:szCs w:val="20"/>
                <w:b w:val="1"/>
                <w:bCs w:val="1"/>
                <w:color w:val="00A1DF"/>
                <w:w w:val="97"/>
              </w:rPr>
              <w:t>Cancellation of</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20" w:type="dxa"/>
            <w:vAlign w:val="bottom"/>
            <w:vMerge w:val="restart"/>
          </w:tcPr>
          <w:p>
            <w:pPr>
              <w:jc w:val="center"/>
              <w:ind w:left="2"/>
              <w:spacing w:after="0"/>
              <w:rPr>
                <w:sz w:val="20"/>
                <w:szCs w:val="20"/>
                <w:color w:val="auto"/>
              </w:rPr>
            </w:pPr>
            <w:r>
              <w:rPr>
                <w:rFonts w:ascii="Arial" w:cs="Arial" w:eastAsia="Arial" w:hAnsi="Arial"/>
                <w:sz w:val="20"/>
                <w:szCs w:val="20"/>
                <w:b w:val="1"/>
                <w:bCs w:val="1"/>
                <w:color w:val="00A1DF"/>
                <w:w w:val="98"/>
              </w:rPr>
              <w:t>Clawback Policy</w:t>
            </w:r>
          </w:p>
        </w:tc>
        <w:tc>
          <w:tcPr>
            <w:tcW w:w="2860" w:type="dxa"/>
            <w:vAlign w:val="bottom"/>
          </w:tcPr>
          <w:p>
            <w:pPr>
              <w:jc w:val="center"/>
              <w:spacing w:after="0" w:line="214" w:lineRule="exact"/>
              <w:rPr>
                <w:sz w:val="20"/>
                <w:szCs w:val="20"/>
                <w:color w:val="auto"/>
              </w:rPr>
            </w:pPr>
            <w:r>
              <w:rPr>
                <w:rFonts w:ascii="Arial" w:cs="Arial" w:eastAsia="Arial" w:hAnsi="Arial"/>
                <w:sz w:val="20"/>
                <w:szCs w:val="20"/>
                <w:b w:val="1"/>
                <w:bCs w:val="1"/>
                <w:color w:val="00A1DF"/>
                <w:w w:val="97"/>
              </w:rPr>
              <w:t>Clawback due to Violation</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A1DF"/>
                <w:w w:val="97"/>
              </w:rPr>
              <w:t>Unvested</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2860" w:type="dxa"/>
            <w:vAlign w:val="bottom"/>
          </w:tcPr>
          <w:p>
            <w:pPr>
              <w:jc w:val="center"/>
              <w:spacing w:after="0" w:line="214" w:lineRule="exact"/>
              <w:rPr>
                <w:sz w:val="20"/>
                <w:szCs w:val="20"/>
                <w:color w:val="auto"/>
              </w:rPr>
            </w:pPr>
            <w:r>
              <w:rPr>
                <w:rFonts w:ascii="Arial" w:cs="Arial" w:eastAsia="Arial" w:hAnsi="Arial"/>
                <w:sz w:val="20"/>
                <w:szCs w:val="20"/>
                <w:b w:val="1"/>
                <w:bCs w:val="1"/>
                <w:color w:val="00A1DF"/>
                <w:w w:val="97"/>
              </w:rPr>
              <w:t>of Non-Compete and Non-</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b w:val="1"/>
                <w:bCs w:val="1"/>
                <w:color w:val="00A1DF"/>
                <w:w w:val="98"/>
              </w:rPr>
              <w:t>and Outstanding</w:t>
            </w: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Arial" w:cs="Arial" w:eastAsia="Arial" w:hAnsi="Arial"/>
                <w:sz w:val="20"/>
                <w:szCs w:val="20"/>
                <w:b w:val="1"/>
                <w:bCs w:val="1"/>
                <w:color w:val="00A1DF"/>
                <w:w w:val="96"/>
              </w:rPr>
              <w:t>Solicitation Terms</w:t>
            </w:r>
          </w:p>
        </w:tc>
        <w:tc>
          <w:tcPr>
            <w:tcW w:w="2940" w:type="dxa"/>
            <w:vAlign w:val="bottom"/>
          </w:tcPr>
          <w:p>
            <w:pPr>
              <w:jc w:val="center"/>
              <w:ind w:left="22"/>
              <w:spacing w:after="0"/>
              <w:rPr>
                <w:sz w:val="20"/>
                <w:szCs w:val="20"/>
                <w:color w:val="auto"/>
              </w:rPr>
            </w:pPr>
            <w:r>
              <w:rPr>
                <w:rFonts w:ascii="Arial" w:cs="Arial" w:eastAsia="Arial" w:hAnsi="Arial"/>
                <w:sz w:val="20"/>
                <w:szCs w:val="20"/>
                <w:b w:val="1"/>
                <w:bCs w:val="1"/>
                <w:color w:val="00A1DF"/>
                <w:w w:val="96"/>
              </w:rPr>
              <w:t>Awards</w:t>
            </w:r>
          </w:p>
        </w:tc>
        <w:tc>
          <w:tcPr>
            <w:tcW w:w="0" w:type="dxa"/>
            <w:vAlign w:val="bottom"/>
          </w:tcPr>
          <w:p>
            <w:pPr>
              <w:spacing w:after="0"/>
              <w:rPr>
                <w:sz w:val="1"/>
                <w:szCs w:val="1"/>
                <w:color w:val="auto"/>
              </w:rPr>
            </w:pPr>
          </w:p>
        </w:tc>
      </w:tr>
      <w:tr>
        <w:trPr>
          <w:trHeight w:val="62"/>
        </w:trPr>
        <w:tc>
          <w:tcPr>
            <w:tcW w:w="2000" w:type="dxa"/>
            <w:vAlign w:val="bottom"/>
            <w:tcBorders>
              <w:bottom w:val="single" w:sz="8" w:color="00A1DF"/>
            </w:tcBorders>
          </w:tcPr>
          <w:p>
            <w:pPr>
              <w:spacing w:after="0"/>
              <w:rPr>
                <w:sz w:val="5"/>
                <w:szCs w:val="5"/>
                <w:color w:val="auto"/>
              </w:rPr>
            </w:pPr>
          </w:p>
        </w:tc>
        <w:tc>
          <w:tcPr>
            <w:tcW w:w="3120" w:type="dxa"/>
            <w:vAlign w:val="bottom"/>
            <w:tcBorders>
              <w:bottom w:val="single" w:sz="8" w:color="00A1DF"/>
            </w:tcBorders>
          </w:tcPr>
          <w:p>
            <w:pPr>
              <w:spacing w:after="0"/>
              <w:rPr>
                <w:sz w:val="5"/>
                <w:szCs w:val="5"/>
                <w:color w:val="auto"/>
              </w:rPr>
            </w:pPr>
          </w:p>
        </w:tc>
        <w:tc>
          <w:tcPr>
            <w:tcW w:w="2860" w:type="dxa"/>
            <w:vAlign w:val="bottom"/>
            <w:tcBorders>
              <w:bottom w:val="single" w:sz="8" w:color="00A1DF"/>
            </w:tcBorders>
          </w:tcPr>
          <w:p>
            <w:pPr>
              <w:spacing w:after="0"/>
              <w:rPr>
                <w:sz w:val="5"/>
                <w:szCs w:val="5"/>
                <w:color w:val="auto"/>
              </w:rPr>
            </w:pPr>
          </w:p>
        </w:tc>
        <w:tc>
          <w:tcPr>
            <w:tcW w:w="294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Covered</w:t>
            </w:r>
          </w:p>
        </w:tc>
        <w:tc>
          <w:tcPr>
            <w:tcW w:w="3120" w:type="dxa"/>
            <w:vAlign w:val="bottom"/>
            <w:vMerge w:val="restart"/>
          </w:tcPr>
          <w:p>
            <w:pPr>
              <w:jc w:val="center"/>
              <w:ind w:left="2"/>
              <w:spacing w:after="0"/>
              <w:rPr>
                <w:sz w:val="20"/>
                <w:szCs w:val="20"/>
                <w:color w:val="auto"/>
              </w:rPr>
            </w:pPr>
            <w:r>
              <w:rPr>
                <w:rFonts w:ascii="Arial" w:cs="Arial" w:eastAsia="Arial" w:hAnsi="Arial"/>
                <w:sz w:val="20"/>
                <w:szCs w:val="20"/>
                <w:color w:val="auto"/>
                <w:w w:val="98"/>
              </w:rPr>
              <w:t>Executive Officers</w:t>
            </w:r>
          </w:p>
        </w:tc>
        <w:tc>
          <w:tcPr>
            <w:tcW w:w="2860" w:type="dxa"/>
            <w:vAlign w:val="bottom"/>
            <w:vMerge w:val="restart"/>
          </w:tcPr>
          <w:p>
            <w:pPr>
              <w:jc w:val="center"/>
              <w:spacing w:after="0"/>
              <w:rPr>
                <w:sz w:val="20"/>
                <w:szCs w:val="20"/>
                <w:color w:val="auto"/>
              </w:rPr>
            </w:pPr>
            <w:r>
              <w:rPr>
                <w:rFonts w:ascii="Arial" w:cs="Arial" w:eastAsia="Arial" w:hAnsi="Arial"/>
                <w:sz w:val="20"/>
                <w:szCs w:val="20"/>
                <w:color w:val="auto"/>
                <w:w w:val="97"/>
              </w:rPr>
              <w:t>Approximately 275</w:t>
            </w:r>
          </w:p>
        </w:tc>
        <w:tc>
          <w:tcPr>
            <w:tcW w:w="2940" w:type="dxa"/>
            <w:vAlign w:val="bottom"/>
          </w:tcPr>
          <w:p>
            <w:pPr>
              <w:jc w:val="center"/>
              <w:ind w:left="2"/>
              <w:spacing w:after="0"/>
              <w:rPr>
                <w:sz w:val="20"/>
                <w:szCs w:val="20"/>
                <w:color w:val="auto"/>
              </w:rPr>
            </w:pPr>
            <w:r>
              <w:rPr>
                <w:rFonts w:ascii="Arial" w:cs="Arial" w:eastAsia="Arial" w:hAnsi="Arial"/>
                <w:sz w:val="20"/>
                <w:szCs w:val="20"/>
                <w:color w:val="auto"/>
                <w:w w:val="97"/>
              </w:rPr>
              <w:t>All employees that</w:t>
            </w:r>
          </w:p>
        </w:tc>
        <w:tc>
          <w:tcPr>
            <w:tcW w:w="0" w:type="dxa"/>
            <w:vAlign w:val="bottom"/>
          </w:tcPr>
          <w:p>
            <w:pPr>
              <w:spacing w:after="0"/>
              <w:rPr>
                <w:sz w:val="1"/>
                <w:szCs w:val="1"/>
                <w:color w:val="auto"/>
              </w:rPr>
            </w:pPr>
          </w:p>
        </w:tc>
      </w:tr>
      <w:tr>
        <w:trPr>
          <w:trHeight w:val="83"/>
        </w:trPr>
        <w:tc>
          <w:tcPr>
            <w:tcW w:w="2000" w:type="dxa"/>
            <w:vAlign w:val="bottom"/>
            <w:vMerge w:val="continue"/>
          </w:tcPr>
          <w:p>
            <w:pPr>
              <w:spacing w:after="0"/>
              <w:rPr>
                <w:sz w:val="7"/>
                <w:szCs w:val="7"/>
                <w:color w:val="auto"/>
              </w:rPr>
            </w:pPr>
          </w:p>
        </w:tc>
        <w:tc>
          <w:tcPr>
            <w:tcW w:w="312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2940" w:type="dxa"/>
            <w:vAlign w:val="bottom"/>
            <w:vMerge w:val="restart"/>
          </w:tcPr>
          <w:p>
            <w:pPr>
              <w:jc w:val="center"/>
              <w:ind w:left="2"/>
              <w:spacing w:after="0" w:line="214" w:lineRule="exact"/>
              <w:rPr>
                <w:sz w:val="20"/>
                <w:szCs w:val="20"/>
                <w:color w:val="auto"/>
              </w:rPr>
            </w:pPr>
            <w:r>
              <w:rPr>
                <w:rFonts w:ascii="Arial" w:cs="Arial" w:eastAsia="Arial" w:hAnsi="Arial"/>
                <w:sz w:val="20"/>
                <w:szCs w:val="20"/>
                <w:color w:val="auto"/>
                <w:w w:val="98"/>
              </w:rPr>
              <w:t>receive awards through</w:t>
            </w:r>
          </w:p>
        </w:tc>
        <w:tc>
          <w:tcPr>
            <w:tcW w:w="0" w:type="dxa"/>
            <w:vAlign w:val="bottom"/>
          </w:tcPr>
          <w:p>
            <w:pPr>
              <w:spacing w:after="0"/>
              <w:rPr>
                <w:sz w:val="1"/>
                <w:szCs w:val="1"/>
                <w:color w:val="auto"/>
              </w:rPr>
            </w:pPr>
          </w:p>
        </w:tc>
      </w:tr>
      <w:tr>
        <w:trPr>
          <w:trHeight w:val="131"/>
        </w:trPr>
        <w:tc>
          <w:tcPr>
            <w:tcW w:w="20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Population</w:t>
            </w:r>
          </w:p>
        </w:tc>
        <w:tc>
          <w:tcPr>
            <w:tcW w:w="3120" w:type="dxa"/>
            <w:vAlign w:val="bottom"/>
            <w:vMerge w:val="restart"/>
          </w:tcPr>
          <w:p>
            <w:pPr>
              <w:jc w:val="center"/>
              <w:spacing w:after="0"/>
              <w:rPr>
                <w:sz w:val="20"/>
                <w:szCs w:val="20"/>
                <w:color w:val="auto"/>
              </w:rPr>
            </w:pPr>
            <w:r>
              <w:rPr>
                <w:rFonts w:ascii="Arial" w:cs="Arial" w:eastAsia="Arial" w:hAnsi="Arial"/>
                <w:sz w:val="20"/>
                <w:szCs w:val="20"/>
                <w:color w:val="auto"/>
                <w:w w:val="97"/>
              </w:rPr>
              <w:t>covered by the policy</w:t>
            </w:r>
          </w:p>
        </w:tc>
        <w:tc>
          <w:tcPr>
            <w:tcW w:w="2860" w:type="dxa"/>
            <w:vAlign w:val="bottom"/>
            <w:vMerge w:val="restart"/>
          </w:tcPr>
          <w:p>
            <w:pPr>
              <w:jc w:val="center"/>
              <w:spacing w:after="0"/>
              <w:rPr>
                <w:sz w:val="20"/>
                <w:szCs w:val="20"/>
                <w:color w:val="auto"/>
              </w:rPr>
            </w:pPr>
            <w:r>
              <w:rPr>
                <w:rFonts w:ascii="Arial" w:cs="Arial" w:eastAsia="Arial" w:hAnsi="Arial"/>
                <w:sz w:val="20"/>
                <w:szCs w:val="20"/>
                <w:color w:val="auto"/>
                <w:w w:val="98"/>
              </w:rPr>
              <w:t>Senior Leaders</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vMerge w:val="continue"/>
          </w:tcPr>
          <w:p>
            <w:pPr>
              <w:spacing w:after="0"/>
              <w:rPr>
                <w:sz w:val="11"/>
                <w:szCs w:val="11"/>
                <w:color w:val="auto"/>
              </w:rPr>
            </w:pPr>
          </w:p>
        </w:tc>
        <w:tc>
          <w:tcPr>
            <w:tcW w:w="3120" w:type="dxa"/>
            <w:vAlign w:val="bottom"/>
            <w:vMerge w:val="continue"/>
          </w:tcPr>
          <w:p>
            <w:pPr>
              <w:spacing w:after="0"/>
              <w:rPr>
                <w:sz w:val="11"/>
                <w:szCs w:val="11"/>
                <w:color w:val="auto"/>
              </w:rPr>
            </w:pPr>
          </w:p>
        </w:tc>
        <w:tc>
          <w:tcPr>
            <w:tcW w:w="2860" w:type="dxa"/>
            <w:vAlign w:val="bottom"/>
            <w:vMerge w:val="continue"/>
          </w:tcPr>
          <w:p>
            <w:pPr>
              <w:spacing w:after="0"/>
              <w:rPr>
                <w:sz w:val="11"/>
                <w:szCs w:val="11"/>
                <w:color w:val="auto"/>
              </w:rPr>
            </w:pPr>
          </w:p>
        </w:tc>
        <w:tc>
          <w:tcPr>
            <w:tcW w:w="2940" w:type="dxa"/>
            <w:vAlign w:val="bottom"/>
            <w:vMerge w:val="restart"/>
          </w:tcPr>
          <w:p>
            <w:pPr>
              <w:jc w:val="center"/>
              <w:ind w:left="2"/>
              <w:spacing w:after="0"/>
              <w:rPr>
                <w:sz w:val="20"/>
                <w:szCs w:val="20"/>
                <w:color w:val="auto"/>
              </w:rPr>
            </w:pPr>
            <w:r>
              <w:rPr>
                <w:rFonts w:ascii="Arial" w:cs="Arial" w:eastAsia="Arial" w:hAnsi="Arial"/>
                <w:sz w:val="20"/>
                <w:szCs w:val="20"/>
                <w:color w:val="auto"/>
                <w:w w:val="96"/>
              </w:rPr>
              <w:t>the STIP or LTIP</w:t>
            </w: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0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Arial" w:cs="Arial" w:eastAsia="Arial" w:hAnsi="Arial"/>
                <w:sz w:val="20"/>
                <w:szCs w:val="20"/>
                <w:color w:val="auto"/>
                <w:w w:val="98"/>
              </w:rPr>
              <w:t>Materially inaccurate</w:t>
            </w:r>
          </w:p>
        </w:tc>
        <w:tc>
          <w:tcPr>
            <w:tcW w:w="2860" w:type="dxa"/>
            <w:vAlign w:val="bottom"/>
            <w:vMerge w:val="restart"/>
          </w:tcPr>
          <w:p>
            <w:pPr>
              <w:jc w:val="center"/>
              <w:spacing w:after="0"/>
              <w:rPr>
                <w:sz w:val="20"/>
                <w:szCs w:val="20"/>
                <w:color w:val="auto"/>
              </w:rPr>
            </w:pPr>
            <w:r>
              <w:rPr>
                <w:rFonts w:ascii="Arial" w:cs="Arial" w:eastAsia="Arial" w:hAnsi="Arial"/>
                <w:sz w:val="20"/>
                <w:szCs w:val="20"/>
                <w:color w:val="auto"/>
                <w:w w:val="97"/>
              </w:rPr>
              <w:t>Employee violates</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Event Applicable</w:t>
            </w:r>
          </w:p>
        </w:tc>
        <w:tc>
          <w:tcPr>
            <w:tcW w:w="3120" w:type="dxa"/>
            <w:vAlign w:val="bottom"/>
          </w:tcPr>
          <w:p>
            <w:pPr>
              <w:jc w:val="center"/>
              <w:spacing w:after="0" w:line="201" w:lineRule="exact"/>
              <w:rPr>
                <w:sz w:val="20"/>
                <w:szCs w:val="20"/>
                <w:color w:val="auto"/>
              </w:rPr>
            </w:pPr>
            <w:r>
              <w:rPr>
                <w:rFonts w:ascii="Arial" w:cs="Arial" w:eastAsia="Arial" w:hAnsi="Arial"/>
                <w:sz w:val="20"/>
                <w:szCs w:val="20"/>
                <w:color w:val="auto"/>
                <w:w w:val="97"/>
              </w:rPr>
              <w:t>misstatement of earnings,</w:t>
            </w:r>
          </w:p>
        </w:tc>
        <w:tc>
          <w:tcPr>
            <w:tcW w:w="2860" w:type="dxa"/>
            <w:vAlign w:val="bottom"/>
            <w:vMerge w:val="continue"/>
          </w:tcPr>
          <w:p>
            <w:pPr>
              <w:spacing w:after="0"/>
              <w:rPr>
                <w:sz w:val="17"/>
                <w:szCs w:val="17"/>
                <w:color w:val="auto"/>
              </w:rPr>
            </w:pPr>
          </w:p>
        </w:tc>
        <w:tc>
          <w:tcPr>
            <w:tcW w:w="2940" w:type="dxa"/>
            <w:vAlign w:val="bottom"/>
          </w:tcPr>
          <w:p>
            <w:pPr>
              <w:jc w:val="center"/>
              <w:ind w:left="2"/>
              <w:spacing w:after="0" w:line="201" w:lineRule="exact"/>
              <w:rPr>
                <w:sz w:val="20"/>
                <w:szCs w:val="20"/>
                <w:color w:val="auto"/>
              </w:rPr>
            </w:pPr>
            <w:r>
              <w:rPr>
                <w:rFonts w:ascii="Arial" w:cs="Arial" w:eastAsia="Arial" w:hAnsi="Arial"/>
                <w:sz w:val="20"/>
                <w:szCs w:val="20"/>
                <w:color w:val="auto"/>
                <w:w w:val="98"/>
              </w:rPr>
              <w:t>Employee engages in conduct</w:t>
            </w:r>
          </w:p>
        </w:tc>
        <w:tc>
          <w:tcPr>
            <w:tcW w:w="0" w:type="dxa"/>
            <w:vAlign w:val="bottom"/>
          </w:tcPr>
          <w:p>
            <w:pPr>
              <w:spacing w:after="0"/>
              <w:rPr>
                <w:sz w:val="1"/>
                <w:szCs w:val="1"/>
                <w:color w:val="auto"/>
              </w:rPr>
            </w:pPr>
          </w:p>
        </w:tc>
      </w:tr>
      <w:tr>
        <w:trPr>
          <w:trHeight w:val="214"/>
        </w:trPr>
        <w:tc>
          <w:tcPr>
            <w:tcW w:w="2000" w:type="dxa"/>
            <w:vAlign w:val="bottom"/>
            <w:vMerge w:val="continue"/>
          </w:tcPr>
          <w:p>
            <w:pPr>
              <w:spacing w:after="0"/>
              <w:rPr>
                <w:sz w:val="18"/>
                <w:szCs w:val="18"/>
                <w:color w:val="auto"/>
              </w:rPr>
            </w:pPr>
          </w:p>
        </w:tc>
        <w:tc>
          <w:tcPr>
            <w:tcW w:w="3120" w:type="dxa"/>
            <w:vAlign w:val="bottom"/>
          </w:tcPr>
          <w:p>
            <w:pPr>
              <w:jc w:val="center"/>
              <w:spacing w:after="0" w:line="214" w:lineRule="exact"/>
              <w:rPr>
                <w:sz w:val="20"/>
                <w:szCs w:val="20"/>
                <w:color w:val="auto"/>
              </w:rPr>
            </w:pPr>
            <w:r>
              <w:rPr>
                <w:rFonts w:ascii="Arial" w:cs="Arial" w:eastAsia="Arial" w:hAnsi="Arial"/>
                <w:sz w:val="20"/>
                <w:szCs w:val="20"/>
                <w:color w:val="auto"/>
                <w:w w:val="98"/>
              </w:rPr>
              <w:t>revenues, gains, performance</w:t>
            </w:r>
          </w:p>
        </w:tc>
        <w:tc>
          <w:tcPr>
            <w:tcW w:w="2860" w:type="dxa"/>
            <w:vAlign w:val="bottom"/>
          </w:tcPr>
          <w:p>
            <w:pPr>
              <w:jc w:val="center"/>
              <w:spacing w:after="0" w:line="214" w:lineRule="exact"/>
              <w:rPr>
                <w:sz w:val="20"/>
                <w:szCs w:val="20"/>
                <w:color w:val="auto"/>
              </w:rPr>
            </w:pPr>
            <w:r>
              <w:rPr>
                <w:rFonts w:ascii="Arial" w:cs="Arial" w:eastAsia="Arial" w:hAnsi="Arial"/>
                <w:sz w:val="20"/>
                <w:szCs w:val="20"/>
                <w:color w:val="auto"/>
                <w:w w:val="98"/>
              </w:rPr>
              <w:t>non-compete or</w:t>
            </w:r>
          </w:p>
        </w:tc>
        <w:tc>
          <w:tcPr>
            <w:tcW w:w="2940" w:type="dxa"/>
            <w:vAlign w:val="bottom"/>
          </w:tcPr>
          <w:p>
            <w:pPr>
              <w:jc w:val="center"/>
              <w:ind w:left="2"/>
              <w:spacing w:after="0" w:line="214" w:lineRule="exact"/>
              <w:rPr>
                <w:sz w:val="20"/>
                <w:szCs w:val="20"/>
                <w:color w:val="auto"/>
              </w:rPr>
            </w:pPr>
            <w:r>
              <w:rPr>
                <w:rFonts w:ascii="Arial" w:cs="Arial" w:eastAsia="Arial" w:hAnsi="Arial"/>
                <w:sz w:val="20"/>
                <w:szCs w:val="20"/>
                <w:color w:val="auto"/>
                <w:w w:val="98"/>
              </w:rPr>
              <w:t>deemed detrimental to the</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19"/>
                <w:szCs w:val="19"/>
                <w:color w:val="auto"/>
              </w:rPr>
            </w:pPr>
          </w:p>
        </w:tc>
        <w:tc>
          <w:tcPr>
            <w:tcW w:w="3120" w:type="dxa"/>
            <w:vAlign w:val="bottom"/>
          </w:tcPr>
          <w:p>
            <w:pPr>
              <w:jc w:val="center"/>
              <w:ind w:left="2"/>
              <w:spacing w:after="0" w:line="228" w:lineRule="exact"/>
              <w:rPr>
                <w:sz w:val="20"/>
                <w:szCs w:val="20"/>
                <w:color w:val="auto"/>
              </w:rPr>
            </w:pPr>
            <w:r>
              <w:rPr>
                <w:rFonts w:ascii="Arial" w:cs="Arial" w:eastAsia="Arial" w:hAnsi="Arial"/>
                <w:sz w:val="20"/>
                <w:szCs w:val="20"/>
                <w:color w:val="auto"/>
                <w:w w:val="98"/>
              </w:rPr>
              <w:t>metrics, or other criteria</w:t>
            </w:r>
          </w:p>
        </w:tc>
        <w:tc>
          <w:tcPr>
            <w:tcW w:w="2860" w:type="dxa"/>
            <w:vAlign w:val="bottom"/>
          </w:tcPr>
          <w:p>
            <w:pPr>
              <w:jc w:val="center"/>
              <w:spacing w:after="0" w:line="228" w:lineRule="exact"/>
              <w:rPr>
                <w:sz w:val="20"/>
                <w:szCs w:val="20"/>
                <w:color w:val="auto"/>
              </w:rPr>
            </w:pPr>
            <w:r>
              <w:rPr>
                <w:rFonts w:ascii="Arial" w:cs="Arial" w:eastAsia="Arial" w:hAnsi="Arial"/>
                <w:sz w:val="20"/>
                <w:szCs w:val="20"/>
                <w:color w:val="auto"/>
                <w:w w:val="98"/>
              </w:rPr>
              <w:t>non-solicitation terms</w:t>
            </w:r>
          </w:p>
        </w:tc>
        <w:tc>
          <w:tcPr>
            <w:tcW w:w="2940" w:type="dxa"/>
            <w:vAlign w:val="bottom"/>
          </w:tcPr>
          <w:p>
            <w:pPr>
              <w:jc w:val="center"/>
              <w:ind w:left="2"/>
              <w:spacing w:after="0" w:line="228" w:lineRule="exact"/>
              <w:rPr>
                <w:sz w:val="20"/>
                <w:szCs w:val="20"/>
                <w:color w:val="auto"/>
              </w:rPr>
            </w:pPr>
            <w:r>
              <w:rPr>
                <w:rFonts w:ascii="Arial" w:cs="Arial" w:eastAsia="Arial" w:hAnsi="Arial"/>
                <w:sz w:val="20"/>
                <w:szCs w:val="20"/>
                <w:color w:val="auto"/>
                <w:w w:val="98"/>
              </w:rPr>
              <w:t>Company</w:t>
            </w:r>
          </w:p>
        </w:tc>
        <w:tc>
          <w:tcPr>
            <w:tcW w:w="0" w:type="dxa"/>
            <w:vAlign w:val="bottom"/>
          </w:tcPr>
          <w:p>
            <w:pPr>
              <w:spacing w:after="0"/>
              <w:rPr>
                <w:sz w:val="1"/>
                <w:szCs w:val="1"/>
                <w:color w:val="auto"/>
              </w:rPr>
            </w:pPr>
          </w:p>
        </w:tc>
      </w:tr>
      <w:tr>
        <w:trPr>
          <w:trHeight w:val="235"/>
        </w:trPr>
        <w:tc>
          <w:tcPr>
            <w:tcW w:w="20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20"/>
                <w:szCs w:val="20"/>
                <w:color w:val="auto"/>
                <w:w w:val="98"/>
              </w:rPr>
              <w:t>including reputational harm</w:t>
            </w:r>
          </w:p>
        </w:tc>
        <w:tc>
          <w:tcPr>
            <w:tcW w:w="2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00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00" w:type="dxa"/>
            <w:vAlign w:val="bottom"/>
          </w:tcPr>
          <w:p>
            <w:pPr>
              <w:ind w:left="100"/>
              <w:spacing w:after="0"/>
              <w:rPr>
                <w:sz w:val="20"/>
                <w:szCs w:val="20"/>
                <w:color w:val="auto"/>
              </w:rPr>
            </w:pPr>
            <w:r>
              <w:rPr>
                <w:rFonts w:ascii="Arial" w:cs="Arial" w:eastAsia="Arial" w:hAnsi="Arial"/>
                <w:sz w:val="20"/>
                <w:szCs w:val="20"/>
                <w:b w:val="1"/>
                <w:bCs w:val="1"/>
                <w:color w:val="auto"/>
              </w:rPr>
              <w:t>Awards Subject</w:t>
            </w:r>
          </w:p>
        </w:tc>
        <w:tc>
          <w:tcPr>
            <w:tcW w:w="3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0" w:type="dxa"/>
            <w:vAlign w:val="bottom"/>
          </w:tcPr>
          <w:p>
            <w:pPr>
              <w:ind w:left="100"/>
              <w:spacing w:after="0" w:line="214" w:lineRule="exact"/>
              <w:rPr>
                <w:sz w:val="20"/>
                <w:szCs w:val="20"/>
                <w:color w:val="auto"/>
              </w:rPr>
            </w:pPr>
            <w:r>
              <w:rPr>
                <w:rFonts w:ascii="Arial" w:cs="Arial" w:eastAsia="Arial" w:hAnsi="Arial"/>
                <w:sz w:val="20"/>
                <w:szCs w:val="20"/>
                <w:b w:val="1"/>
                <w:bCs w:val="1"/>
                <w:color w:val="auto"/>
              </w:rPr>
              <w:t>to Cancellation,</w:t>
            </w:r>
          </w:p>
        </w:tc>
        <w:tc>
          <w:tcPr>
            <w:tcW w:w="3120" w:type="dxa"/>
            <w:vAlign w:val="bottom"/>
            <w:vMerge w:val="restart"/>
          </w:tcPr>
          <w:p>
            <w:pPr>
              <w:jc w:val="center"/>
              <w:ind w:left="2"/>
              <w:spacing w:after="0"/>
              <w:rPr>
                <w:sz w:val="20"/>
                <w:szCs w:val="20"/>
                <w:color w:val="auto"/>
              </w:rPr>
            </w:pPr>
            <w:r>
              <w:rPr>
                <w:rFonts w:ascii="Arial" w:cs="Arial" w:eastAsia="Arial" w:hAnsi="Arial"/>
                <w:sz w:val="20"/>
                <w:szCs w:val="20"/>
                <w:color w:val="auto"/>
                <w:w w:val="96"/>
              </w:rPr>
              <w:t>STIP, PSUs, RSUs,</w:t>
            </w:r>
          </w:p>
        </w:tc>
        <w:tc>
          <w:tcPr>
            <w:tcW w:w="2860" w:type="dxa"/>
            <w:vAlign w:val="bottom"/>
            <w:vMerge w:val="restart"/>
          </w:tcPr>
          <w:p>
            <w:pPr>
              <w:jc w:val="center"/>
              <w:spacing w:after="0"/>
              <w:rPr>
                <w:sz w:val="20"/>
                <w:szCs w:val="20"/>
                <w:color w:val="auto"/>
              </w:rPr>
            </w:pPr>
            <w:r>
              <w:rPr>
                <w:rFonts w:ascii="Arial" w:cs="Arial" w:eastAsia="Arial" w:hAnsi="Arial"/>
                <w:sz w:val="20"/>
                <w:szCs w:val="20"/>
                <w:color w:val="auto"/>
                <w:w w:val="98"/>
              </w:rPr>
              <w:t>PSUs, RSUs, and</w:t>
            </w:r>
          </w:p>
        </w:tc>
        <w:tc>
          <w:tcPr>
            <w:tcW w:w="2940" w:type="dxa"/>
            <w:vAlign w:val="bottom"/>
            <w:vMerge w:val="restart"/>
          </w:tcPr>
          <w:p>
            <w:pPr>
              <w:jc w:val="center"/>
              <w:ind w:left="22"/>
              <w:spacing w:after="0"/>
              <w:rPr>
                <w:sz w:val="20"/>
                <w:szCs w:val="20"/>
                <w:color w:val="auto"/>
              </w:rPr>
            </w:pPr>
            <w:r>
              <w:rPr>
                <w:rFonts w:ascii="Arial" w:cs="Arial" w:eastAsia="Arial" w:hAnsi="Arial"/>
                <w:sz w:val="20"/>
                <w:szCs w:val="20"/>
                <w:color w:val="auto"/>
                <w:w w:val="96"/>
              </w:rPr>
              <w:t>STIP, PSUs, RSUs,</w:t>
            </w:r>
          </w:p>
        </w:tc>
        <w:tc>
          <w:tcPr>
            <w:tcW w:w="0" w:type="dxa"/>
            <w:vAlign w:val="bottom"/>
          </w:tcPr>
          <w:p>
            <w:pPr>
              <w:spacing w:after="0"/>
              <w:rPr>
                <w:sz w:val="1"/>
                <w:szCs w:val="1"/>
                <w:color w:val="auto"/>
              </w:rPr>
            </w:pPr>
          </w:p>
        </w:tc>
      </w:tr>
      <w:tr>
        <w:trPr>
          <w:trHeight w:val="118"/>
        </w:trPr>
        <w:tc>
          <w:tcPr>
            <w:tcW w:w="2000" w:type="dxa"/>
            <w:vAlign w:val="bottom"/>
            <w:vMerge w:val="restart"/>
          </w:tcPr>
          <w:p>
            <w:pPr>
              <w:ind w:left="100"/>
              <w:spacing w:after="0" w:line="214" w:lineRule="exact"/>
              <w:rPr>
                <w:sz w:val="20"/>
                <w:szCs w:val="20"/>
                <w:color w:val="auto"/>
              </w:rPr>
            </w:pPr>
            <w:r>
              <w:rPr>
                <w:rFonts w:ascii="Arial" w:cs="Arial" w:eastAsia="Arial" w:hAnsi="Arial"/>
                <w:sz w:val="20"/>
                <w:szCs w:val="20"/>
                <w:b w:val="1"/>
                <w:bCs w:val="1"/>
                <w:color w:val="auto"/>
              </w:rPr>
              <w:t>Forfeiture,</w:t>
            </w:r>
          </w:p>
        </w:tc>
        <w:tc>
          <w:tcPr>
            <w:tcW w:w="312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00" w:type="dxa"/>
            <w:vAlign w:val="bottom"/>
            <w:vMerge w:val="continue"/>
          </w:tcPr>
          <w:p>
            <w:pPr>
              <w:spacing w:after="0"/>
              <w:rPr>
                <w:sz w:val="8"/>
                <w:szCs w:val="8"/>
                <w:color w:val="auto"/>
              </w:rPr>
            </w:pPr>
          </w:p>
        </w:tc>
        <w:tc>
          <w:tcPr>
            <w:tcW w:w="3120" w:type="dxa"/>
            <w:vAlign w:val="bottom"/>
            <w:vMerge w:val="restart"/>
          </w:tcPr>
          <w:p>
            <w:pPr>
              <w:jc w:val="center"/>
              <w:spacing w:after="0"/>
              <w:rPr>
                <w:sz w:val="20"/>
                <w:szCs w:val="20"/>
                <w:color w:val="auto"/>
              </w:rPr>
            </w:pPr>
            <w:r>
              <w:rPr>
                <w:rFonts w:ascii="Arial" w:cs="Arial" w:eastAsia="Arial" w:hAnsi="Arial"/>
                <w:sz w:val="20"/>
                <w:szCs w:val="20"/>
                <w:color w:val="auto"/>
                <w:w w:val="97"/>
              </w:rPr>
              <w:t>and Stock Options</w:t>
            </w:r>
          </w:p>
        </w:tc>
        <w:tc>
          <w:tcPr>
            <w:tcW w:w="2860" w:type="dxa"/>
            <w:vAlign w:val="bottom"/>
            <w:vMerge w:val="restart"/>
          </w:tcPr>
          <w:p>
            <w:pPr>
              <w:jc w:val="center"/>
              <w:spacing w:after="0"/>
              <w:rPr>
                <w:sz w:val="20"/>
                <w:szCs w:val="20"/>
                <w:color w:val="auto"/>
              </w:rPr>
            </w:pPr>
            <w:r>
              <w:rPr>
                <w:rFonts w:ascii="Arial" w:cs="Arial" w:eastAsia="Arial" w:hAnsi="Arial"/>
                <w:sz w:val="20"/>
                <w:szCs w:val="20"/>
                <w:color w:val="auto"/>
                <w:w w:val="97"/>
              </w:rPr>
              <w:t>Stock Options</w:t>
            </w:r>
          </w:p>
        </w:tc>
        <w:tc>
          <w:tcPr>
            <w:tcW w:w="2940" w:type="dxa"/>
            <w:vAlign w:val="bottom"/>
            <w:vMerge w:val="restart"/>
          </w:tcPr>
          <w:p>
            <w:pPr>
              <w:jc w:val="center"/>
              <w:ind w:left="2"/>
              <w:spacing w:after="0"/>
              <w:rPr>
                <w:sz w:val="20"/>
                <w:szCs w:val="20"/>
                <w:color w:val="auto"/>
              </w:rPr>
            </w:pPr>
            <w:r>
              <w:rPr>
                <w:rFonts w:ascii="Arial" w:cs="Arial" w:eastAsia="Arial" w:hAnsi="Arial"/>
                <w:sz w:val="20"/>
                <w:szCs w:val="20"/>
                <w:color w:val="auto"/>
                <w:w w:val="97"/>
              </w:rPr>
              <w:t>and Stock Options</w:t>
            </w:r>
          </w:p>
        </w:tc>
        <w:tc>
          <w:tcPr>
            <w:tcW w:w="0" w:type="dxa"/>
            <w:vAlign w:val="bottom"/>
          </w:tcPr>
          <w:p>
            <w:pPr>
              <w:spacing w:after="0"/>
              <w:rPr>
                <w:sz w:val="1"/>
                <w:szCs w:val="1"/>
                <w:color w:val="auto"/>
              </w:rPr>
            </w:pPr>
          </w:p>
        </w:tc>
      </w:tr>
      <w:tr>
        <w:trPr>
          <w:trHeight w:val="139"/>
        </w:trPr>
        <w:tc>
          <w:tcPr>
            <w:tcW w:w="2000" w:type="dxa"/>
            <w:vAlign w:val="bottom"/>
            <w:vMerge w:val="restart"/>
          </w:tcPr>
          <w:p>
            <w:pPr>
              <w:ind w:left="100"/>
              <w:spacing w:after="0" w:line="214" w:lineRule="exact"/>
              <w:rPr>
                <w:sz w:val="20"/>
                <w:szCs w:val="20"/>
                <w:color w:val="auto"/>
              </w:rPr>
            </w:pPr>
            <w:r>
              <w:rPr>
                <w:rFonts w:ascii="Arial" w:cs="Arial" w:eastAsia="Arial" w:hAnsi="Arial"/>
                <w:sz w:val="20"/>
                <w:szCs w:val="20"/>
                <w:b w:val="1"/>
                <w:bCs w:val="1"/>
                <w:color w:val="auto"/>
              </w:rPr>
              <w:t>and/or</w:t>
            </w:r>
          </w:p>
        </w:tc>
        <w:tc>
          <w:tcPr>
            <w:tcW w:w="3120" w:type="dxa"/>
            <w:vAlign w:val="bottom"/>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2000" w:type="dxa"/>
            <w:vAlign w:val="bottom"/>
          </w:tcPr>
          <w:p>
            <w:pPr>
              <w:ind w:left="100"/>
              <w:spacing w:after="0"/>
              <w:rPr>
                <w:sz w:val="20"/>
                <w:szCs w:val="20"/>
                <w:color w:val="auto"/>
              </w:rPr>
            </w:pPr>
            <w:r>
              <w:rPr>
                <w:rFonts w:ascii="Arial" w:cs="Arial" w:eastAsia="Arial" w:hAnsi="Arial"/>
                <w:sz w:val="20"/>
                <w:szCs w:val="20"/>
                <w:b w:val="1"/>
                <w:bCs w:val="1"/>
                <w:color w:val="auto"/>
              </w:rPr>
              <w:t>Recoupment</w:t>
            </w:r>
          </w:p>
        </w:tc>
        <w:tc>
          <w:tcPr>
            <w:tcW w:w="3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00" w:type="dxa"/>
            <w:vAlign w:val="bottom"/>
            <w:tcBorders>
              <w:bottom w:val="single" w:sz="8" w:color="0033A0"/>
            </w:tcBorders>
          </w:tcPr>
          <w:p>
            <w:pPr>
              <w:spacing w:after="0"/>
              <w:rPr>
                <w:sz w:val="5"/>
                <w:szCs w:val="5"/>
                <w:color w:val="auto"/>
              </w:rPr>
            </w:pPr>
          </w:p>
        </w:tc>
        <w:tc>
          <w:tcPr>
            <w:tcW w:w="3120" w:type="dxa"/>
            <w:vAlign w:val="bottom"/>
            <w:tcBorders>
              <w:bottom w:val="single" w:sz="8" w:color="0033A0"/>
            </w:tcBorders>
          </w:tcPr>
          <w:p>
            <w:pPr>
              <w:spacing w:after="0"/>
              <w:rPr>
                <w:sz w:val="5"/>
                <w:szCs w:val="5"/>
                <w:color w:val="auto"/>
              </w:rPr>
            </w:pPr>
          </w:p>
        </w:tc>
        <w:tc>
          <w:tcPr>
            <w:tcW w:w="2860" w:type="dxa"/>
            <w:vAlign w:val="bottom"/>
            <w:tcBorders>
              <w:bottom w:val="single" w:sz="8" w:color="0033A0"/>
            </w:tcBorders>
          </w:tcPr>
          <w:p>
            <w:pPr>
              <w:spacing w:after="0"/>
              <w:rPr>
                <w:sz w:val="5"/>
                <w:szCs w:val="5"/>
                <w:color w:val="auto"/>
              </w:rPr>
            </w:pPr>
          </w:p>
        </w:tc>
        <w:tc>
          <w:tcPr>
            <w:tcW w:w="2940" w:type="dxa"/>
            <w:vAlign w:val="bottom"/>
            <w:tcBorders>
              <w:bottom w:val="single" w:sz="8" w:color="0033A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700" w:hanging="533"/>
        <w:spacing w:after="0"/>
        <w:tabs>
          <w:tab w:leader="none" w:pos="700" w:val="left"/>
        </w:tabs>
        <w:numPr>
          <w:ilvl w:val="0"/>
          <w:numId w:val="97"/>
        </w:numPr>
        <w:rPr>
          <w:rFonts w:ascii="Arial" w:cs="Arial" w:eastAsia="Arial" w:hAnsi="Arial"/>
          <w:sz w:val="25"/>
          <w:szCs w:val="25"/>
          <w:color w:val="0033A0"/>
        </w:rPr>
      </w:pPr>
      <w:r>
        <w:rPr>
          <w:rFonts w:ascii="Arial" w:cs="Arial" w:eastAsia="Arial" w:hAnsi="Arial"/>
          <w:sz w:val="25"/>
          <w:szCs w:val="25"/>
          <w:color w:val="auto"/>
        </w:rPr>
        <w:t>Trading GM Securities</w:t>
      </w:r>
    </w:p>
    <w:p>
      <w:pPr>
        <w:spacing w:after="0" w:line="149"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Our Insider Trading Policy prohibits our employees from buying or selling GM securities when in possession of material nonpublic information and during other closed periods. Any sale or purchase of common stock by directors, executive officers, and all other senior leaders must be made during pre-established periods after receiving preclearance by a member of the GM Legal Staff or according to a preapproved Rule 10b5-1 plan.</w:t>
      </w:r>
    </w:p>
    <w:p>
      <w:pPr>
        <w:spacing w:after="0" w:line="129" w:lineRule="exact"/>
        <w:rPr>
          <w:sz w:val="20"/>
          <w:szCs w:val="20"/>
          <w:color w:val="auto"/>
        </w:rPr>
      </w:pPr>
    </w:p>
    <w:p>
      <w:pPr>
        <w:jc w:val="both"/>
        <w:ind w:left="160" w:right="20"/>
        <w:spacing w:after="0" w:line="244" w:lineRule="auto"/>
        <w:rPr>
          <w:sz w:val="20"/>
          <w:szCs w:val="20"/>
          <w:color w:val="auto"/>
        </w:rPr>
      </w:pPr>
      <w:r>
        <w:rPr>
          <w:rFonts w:ascii="Arial" w:cs="Arial" w:eastAsia="Arial" w:hAnsi="Arial"/>
          <w:sz w:val="19"/>
          <w:szCs w:val="19"/>
          <w:color w:val="auto"/>
        </w:rPr>
        <w:t xml:space="preserve">Trading in GM derivatives (i.e., puts or calls), engaging in short sales, or otherwise engaging in hedging activities, and pledging of GM securities is prohibited. All GM executive officers are in compliance with the Insider Trading Policy and have not hedged nor pledged any shares of GM common stock. This policy is posted on our website at </w:t>
      </w:r>
      <w:r>
        <w:rPr>
          <w:rFonts w:ascii="Arial" w:cs="Arial" w:eastAsia="Arial" w:hAnsi="Arial"/>
          <w:sz w:val="19"/>
          <w:szCs w:val="19"/>
          <w:i w:val="1"/>
          <w:iCs w:val="1"/>
          <w:color w:val="00A1DF"/>
        </w:rPr>
        <w:t>investor.gm.com/resources</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80010</wp:posOffset>
            </wp:positionV>
            <wp:extent cx="6793865" cy="1016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59</w:t>
      </w:r>
    </w:p>
    <w:p>
      <w:pPr>
        <w:sectPr>
          <w:pgSz w:w="11900" w:h="16838" w:orient="portrait"/>
          <w:cols w:equalWidth="0" w:num="1">
            <w:col w:w="11100"/>
          </w:cols>
          <w:pgMar w:left="320" w:top="45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98"/>
        </w:numPr>
        <w:rPr>
          <w:rFonts w:ascii="Arial" w:cs="Arial" w:eastAsia="Arial" w:hAnsi="Arial"/>
          <w:sz w:val="25"/>
          <w:szCs w:val="25"/>
          <w:color w:val="0033A0"/>
        </w:rPr>
      </w:pPr>
      <w:r>
        <w:rPr>
          <w:rFonts w:ascii="Arial" w:cs="Arial" w:eastAsia="Arial" w:hAnsi="Arial"/>
          <w:sz w:val="25"/>
          <w:szCs w:val="25"/>
          <w:color w:val="auto"/>
        </w:rPr>
        <w:t>Tax Considerations</w:t>
      </w:r>
    </w:p>
    <w:p>
      <w:pPr>
        <w:spacing w:after="0" w:line="149"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In tax years commencing prior to January 1, 2018, Internal Revenue Code (“IRC”) Section 162(m) generally disallowed federal tax deductions for compensation in excess of $1 million paid to the CEO and the next three highest-paid officers (other than the CFO) (collectively the “Covered Executives”). The Tax Cuts and Jobs Act, enacted on December 22, 2017, substantially modified IRC Section 162(m) and, among other things, eliminated the performance-based compensation exception to the $1 million deduction limit effective as of January 1, 2018. As a result, beginning in 2018, compensation paid to Covered Executives in excess of $1 million will generally be nondeductible, whether or not it is performance-based. In addition, beginning in 2018, the Covered Executives include any individual who served as the CEO or CFO at any time during the taxable year and the next three highest paid officers (other than the CEO and CFO) for the taxable year, and once an individual becomes a Covered Executive for any taxable year beginning after December 31, 2016, that individual will remain a Covered Executive for all future years, including following any termination of employment.</w:t>
      </w:r>
    </w:p>
    <w:p>
      <w:pPr>
        <w:spacing w:after="0" w:line="118"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The Tax Cuts and Jobs Act includes a transition relief rule pursuant to which the changes to IRC Section 162(m) described above will not apply to compensation payable pursuant to a written binding contract that was in effect on November 2, 2017, and is not materially modified after that date. To the extent it is applicable to our existing arrangements, the Compensation Committee may avail itself of this transition relief rule.</w:t>
      </w:r>
    </w:p>
    <w:p>
      <w:pPr>
        <w:spacing w:after="0" w:line="321" w:lineRule="exact"/>
        <w:rPr>
          <w:sz w:val="20"/>
          <w:szCs w:val="20"/>
          <w:color w:val="auto"/>
        </w:rPr>
      </w:pPr>
    </w:p>
    <w:p>
      <w:pPr>
        <w:ind w:left="700" w:hanging="533"/>
        <w:spacing w:after="0"/>
        <w:tabs>
          <w:tab w:leader="none" w:pos="700" w:val="left"/>
        </w:tabs>
        <w:numPr>
          <w:ilvl w:val="0"/>
          <w:numId w:val="99"/>
        </w:numPr>
        <w:rPr>
          <w:rFonts w:ascii="Arial" w:cs="Arial" w:eastAsia="Arial" w:hAnsi="Arial"/>
          <w:sz w:val="25"/>
          <w:szCs w:val="25"/>
          <w:color w:val="0033A0"/>
        </w:rPr>
      </w:pPr>
      <w:r>
        <w:rPr>
          <w:rFonts w:ascii="Arial" w:cs="Arial" w:eastAsia="Arial" w:hAnsi="Arial"/>
          <w:sz w:val="25"/>
          <w:szCs w:val="25"/>
          <w:color w:val="auto"/>
        </w:rPr>
        <w:t>Compensation Committee and Consultant Independence</w:t>
      </w:r>
    </w:p>
    <w:p>
      <w:pPr>
        <w:spacing w:after="0" w:line="14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Our Compensation Committee is composed entirely of independent directors as determined by the Board under NYSE guidelines and as defined for various regulatory purposes. The Compensation Committee was assisted in its work by Farient Advisors from January to June of 2019 and transitioned to Frederic W. Cook &amp; Co., Inc. (“FW Cook”) in June of 2019. Both Farient Advisors and FW Cook are independent compensation consulting firms who take direction from and are solely responsible to the Compensation Committee. The Compensation Committee is also aided in its deliberations by in-house legal counsel.</w:t>
      </w:r>
    </w:p>
    <w:p>
      <w:pPr>
        <w:spacing w:after="0" w:line="126" w:lineRule="exact"/>
        <w:rPr>
          <w:sz w:val="20"/>
          <w:szCs w:val="20"/>
          <w:color w:val="auto"/>
        </w:rPr>
      </w:pPr>
    </w:p>
    <w:p>
      <w:pPr>
        <w:jc w:val="both"/>
        <w:ind w:left="160"/>
        <w:spacing w:after="0" w:line="238" w:lineRule="auto"/>
        <w:rPr>
          <w:sz w:val="20"/>
          <w:szCs w:val="20"/>
          <w:color w:val="auto"/>
        </w:rPr>
      </w:pPr>
      <w:r>
        <w:rPr>
          <w:rFonts w:ascii="Arial" w:cs="Arial" w:eastAsia="Arial" w:hAnsi="Arial"/>
          <w:sz w:val="19"/>
          <w:szCs w:val="19"/>
          <w:color w:val="auto"/>
        </w:rPr>
        <w:t>Under its charter, the Compensation Committee has the authority to hire outside consultants and advisors at the Company’s expense. The Compensation Committee retains the services of an independent consultant for advice on issues related to the compensation of NEOs and other executive compensation-related matters. The independent compensation consultant attends Compensation Committee meetings, either in person or via telephone, consults with and advises the Compensation Committee members on executive compensation, including the structure and amounts of various pay elements, and develops executive benchmarking data. Neither Farient Advisors nor FW Cook provided services to the Company’s management.</w:t>
      </w:r>
    </w:p>
    <w:p>
      <w:pPr>
        <w:spacing w:after="0" w:line="118" w:lineRule="exact"/>
        <w:rPr>
          <w:sz w:val="20"/>
          <w:szCs w:val="20"/>
          <w:color w:val="auto"/>
        </w:rPr>
      </w:pPr>
    </w:p>
    <w:p>
      <w:pPr>
        <w:jc w:val="both"/>
        <w:ind w:left="160"/>
        <w:spacing w:after="0" w:line="234" w:lineRule="auto"/>
        <w:rPr>
          <w:sz w:val="20"/>
          <w:szCs w:val="20"/>
          <w:color w:val="auto"/>
        </w:rPr>
      </w:pPr>
      <w:r>
        <w:rPr>
          <w:rFonts w:ascii="Arial" w:cs="Arial" w:eastAsia="Arial" w:hAnsi="Arial"/>
          <w:sz w:val="20"/>
          <w:szCs w:val="20"/>
          <w:color w:val="auto"/>
        </w:rPr>
        <w:t>The Compensation Committee annually reviews the performance of the compensation consultant and considers the following factors when assessing consultant independence in accordance with NYSE standards:</w:t>
      </w:r>
    </w:p>
    <w:p>
      <w:pPr>
        <w:spacing w:after="0" w:line="60" w:lineRule="exact"/>
        <w:rPr>
          <w:sz w:val="20"/>
          <w:szCs w:val="20"/>
          <w:color w:val="auto"/>
        </w:rPr>
      </w:pPr>
    </w:p>
    <w:p>
      <w:pPr>
        <w:ind w:left="380" w:hanging="213"/>
        <w:spacing w:after="0"/>
        <w:tabs>
          <w:tab w:leader="none" w:pos="380" w:val="left"/>
        </w:tabs>
        <w:numPr>
          <w:ilvl w:val="0"/>
          <w:numId w:val="100"/>
        </w:numPr>
        <w:rPr>
          <w:rFonts w:ascii="Arial" w:cs="Arial" w:eastAsia="Arial" w:hAnsi="Arial"/>
          <w:sz w:val="20"/>
          <w:szCs w:val="20"/>
          <w:color w:val="0033A0"/>
        </w:rPr>
      </w:pPr>
      <w:r>
        <w:rPr>
          <w:rFonts w:ascii="Arial" w:cs="Arial" w:eastAsia="Arial" w:hAnsi="Arial"/>
          <w:sz w:val="20"/>
          <w:szCs w:val="20"/>
          <w:color w:val="auto"/>
        </w:rPr>
        <w:t>Services provided to GM management outside the services provided to the Compensation Committee</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100"/>
        </w:numPr>
        <w:rPr>
          <w:rFonts w:ascii="Arial" w:cs="Arial" w:eastAsia="Arial" w:hAnsi="Arial"/>
          <w:sz w:val="20"/>
          <w:szCs w:val="20"/>
          <w:color w:val="0033A0"/>
        </w:rPr>
      </w:pPr>
      <w:r>
        <w:rPr>
          <w:rFonts w:ascii="Arial" w:cs="Arial" w:eastAsia="Arial" w:hAnsi="Arial"/>
          <w:sz w:val="20"/>
          <w:szCs w:val="20"/>
          <w:color w:val="auto"/>
        </w:rPr>
        <w:t>Fees paid as a percentage of total revenue</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100"/>
        </w:numPr>
        <w:rPr>
          <w:rFonts w:ascii="Arial" w:cs="Arial" w:eastAsia="Arial" w:hAnsi="Arial"/>
          <w:sz w:val="20"/>
          <w:szCs w:val="20"/>
          <w:color w:val="0033A0"/>
        </w:rPr>
      </w:pPr>
      <w:r>
        <w:rPr>
          <w:rFonts w:ascii="Arial" w:cs="Arial" w:eastAsia="Arial" w:hAnsi="Arial"/>
          <w:sz w:val="20"/>
          <w:szCs w:val="20"/>
          <w:color w:val="auto"/>
        </w:rPr>
        <w:t>Policies and procedures designed to prevent conflicts of interest</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100"/>
        </w:numPr>
        <w:rPr>
          <w:rFonts w:ascii="Arial" w:cs="Arial" w:eastAsia="Arial" w:hAnsi="Arial"/>
          <w:sz w:val="19"/>
          <w:szCs w:val="19"/>
          <w:color w:val="0033A0"/>
        </w:rPr>
      </w:pPr>
      <w:r>
        <w:rPr>
          <w:rFonts w:ascii="Arial" w:cs="Arial" w:eastAsia="Arial" w:hAnsi="Arial"/>
          <w:sz w:val="19"/>
          <w:szCs w:val="19"/>
          <w:color w:val="auto"/>
        </w:rPr>
        <w:t>Any business or personal relationships between members of the Compensation Committee and the independent consultant</w:t>
      </w:r>
    </w:p>
    <w:p>
      <w:pPr>
        <w:spacing w:after="0" w:line="75" w:lineRule="exact"/>
        <w:rPr>
          <w:rFonts w:ascii="Arial" w:cs="Arial" w:eastAsia="Arial" w:hAnsi="Arial"/>
          <w:sz w:val="19"/>
          <w:szCs w:val="19"/>
          <w:color w:val="0033A0"/>
        </w:rPr>
      </w:pPr>
    </w:p>
    <w:p>
      <w:pPr>
        <w:ind w:left="380" w:hanging="213"/>
        <w:spacing w:after="0"/>
        <w:tabs>
          <w:tab w:leader="none" w:pos="380" w:val="left"/>
        </w:tabs>
        <w:numPr>
          <w:ilvl w:val="0"/>
          <w:numId w:val="100"/>
        </w:numPr>
        <w:rPr>
          <w:rFonts w:ascii="Arial" w:cs="Arial" w:eastAsia="Arial" w:hAnsi="Arial"/>
          <w:sz w:val="20"/>
          <w:szCs w:val="20"/>
          <w:color w:val="0033A0"/>
        </w:rPr>
      </w:pPr>
      <w:r>
        <w:rPr>
          <w:rFonts w:ascii="Arial" w:cs="Arial" w:eastAsia="Arial" w:hAnsi="Arial"/>
          <w:sz w:val="20"/>
          <w:szCs w:val="20"/>
          <w:color w:val="auto"/>
        </w:rPr>
        <w:t>Stock ownership by employees of the independent consultant</w:t>
      </w:r>
    </w:p>
    <w:p>
      <w:pPr>
        <w:spacing w:after="0" w:line="64" w:lineRule="exact"/>
        <w:rPr>
          <w:rFonts w:ascii="Arial" w:cs="Arial" w:eastAsia="Arial" w:hAnsi="Arial"/>
          <w:sz w:val="20"/>
          <w:szCs w:val="20"/>
          <w:color w:val="0033A0"/>
        </w:rPr>
      </w:pPr>
    </w:p>
    <w:p>
      <w:pPr>
        <w:ind w:left="380" w:hanging="213"/>
        <w:spacing w:after="0"/>
        <w:tabs>
          <w:tab w:leader="none" w:pos="380" w:val="left"/>
        </w:tabs>
        <w:numPr>
          <w:ilvl w:val="0"/>
          <w:numId w:val="100"/>
        </w:numPr>
        <w:rPr>
          <w:rFonts w:ascii="Arial" w:cs="Arial" w:eastAsia="Arial" w:hAnsi="Arial"/>
          <w:sz w:val="20"/>
          <w:szCs w:val="20"/>
          <w:color w:val="0033A0"/>
        </w:rPr>
      </w:pPr>
      <w:r>
        <w:rPr>
          <w:rFonts w:ascii="Arial" w:cs="Arial" w:eastAsia="Arial" w:hAnsi="Arial"/>
          <w:sz w:val="20"/>
          <w:szCs w:val="20"/>
          <w:color w:val="auto"/>
        </w:rPr>
        <w:t>Any business or personal relationships between GM and the independent consultant</w:t>
      </w:r>
    </w:p>
    <w:p>
      <w:pPr>
        <w:spacing w:after="0" w:line="131"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After reviewing the performance and independence of their consultant, the Compensation Committee determined both Farient Advisors and FW Cook were independent based on the standards above.</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60 </w:t>
      </w:r>
      <w:r>
        <w:rPr>
          <w:sz w:val="1"/>
          <w:szCs w:val="1"/>
          <w:color w:val="auto"/>
        </w:rPr>
        <w:drawing>
          <wp:inline distT="0" distB="0" distL="0" distR="0">
            <wp:extent cx="6793865" cy="10160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01"/>
        </w:numPr>
        <w:rPr>
          <w:rFonts w:ascii="Arial" w:cs="Arial" w:eastAsia="Arial" w:hAnsi="Arial"/>
          <w:sz w:val="25"/>
          <w:szCs w:val="25"/>
          <w:color w:val="0033A0"/>
        </w:rPr>
      </w:pPr>
      <w:r>
        <w:rPr>
          <w:rFonts w:ascii="Arial" w:cs="Arial" w:eastAsia="Arial" w:hAnsi="Arial"/>
          <w:sz w:val="25"/>
          <w:szCs w:val="25"/>
          <w:color w:val="auto"/>
        </w:rPr>
        <w:t>Employment and Termination Agreements</w:t>
      </w:r>
    </w:p>
    <w:p>
      <w:pPr>
        <w:spacing w:after="0" w:line="149"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auto"/>
        </w:rPr>
        <w:t>The Company has no employment or termination agreements with any of our 2019 NEOs. All NEOs participate in the General Motors LLC U.S. Executive Severance Program filed as an exhibit to the 2019 Form 10-K.</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Compensation Committee Report</w:t>
      </w:r>
    </w:p>
    <w:p>
      <w:pPr>
        <w:spacing w:after="0" w:line="150"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The Compensation Committee has reviewed and discussed with management the CD&amp;A and, based on that review and discussion, has recommended to the Board of Directors that the CD&amp;A be included in this Proxy Statement and incorporated by reference into the GM 2019 Annual Report on Form 10-K.</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20"/>
          <w:szCs w:val="20"/>
          <w:b w:val="1"/>
          <w:bCs w:val="1"/>
          <w:color w:val="auto"/>
        </w:rPr>
        <w:t>Compensation Committee</w:t>
      </w:r>
    </w:p>
    <w:p>
      <w:pPr>
        <w:spacing w:after="0" w:line="112" w:lineRule="exact"/>
        <w:rPr>
          <w:sz w:val="20"/>
          <w:szCs w:val="20"/>
          <w:color w:val="auto"/>
        </w:rPr>
      </w:pPr>
    </w:p>
    <w:p>
      <w:pPr>
        <w:ind w:left="6820"/>
        <w:spacing w:after="0"/>
        <w:rPr>
          <w:sz w:val="20"/>
          <w:szCs w:val="20"/>
          <w:color w:val="auto"/>
        </w:rPr>
      </w:pPr>
      <w:r>
        <w:rPr>
          <w:rFonts w:ascii="Arial" w:cs="Arial" w:eastAsia="Arial" w:hAnsi="Arial"/>
          <w:sz w:val="20"/>
          <w:szCs w:val="20"/>
          <w:color w:val="auto"/>
        </w:rPr>
        <w:t>Carol M. Stephenson (Chair)</w:t>
      </w:r>
    </w:p>
    <w:p>
      <w:pPr>
        <w:ind w:left="6820"/>
        <w:spacing w:after="0" w:line="223" w:lineRule="auto"/>
        <w:rPr>
          <w:sz w:val="20"/>
          <w:szCs w:val="20"/>
          <w:color w:val="auto"/>
        </w:rPr>
      </w:pPr>
      <w:r>
        <w:rPr>
          <w:rFonts w:ascii="Arial" w:cs="Arial" w:eastAsia="Arial" w:hAnsi="Arial"/>
          <w:sz w:val="20"/>
          <w:szCs w:val="20"/>
          <w:color w:val="auto"/>
        </w:rPr>
        <w:t>Wesley G. Bush</w:t>
      </w:r>
    </w:p>
    <w:p>
      <w:pPr>
        <w:ind w:left="6820"/>
        <w:spacing w:after="0" w:line="223" w:lineRule="auto"/>
        <w:rPr>
          <w:sz w:val="20"/>
          <w:szCs w:val="20"/>
          <w:color w:val="auto"/>
        </w:rPr>
      </w:pPr>
      <w:r>
        <w:rPr>
          <w:rFonts w:ascii="Arial" w:cs="Arial" w:eastAsia="Arial" w:hAnsi="Arial"/>
          <w:sz w:val="20"/>
          <w:szCs w:val="20"/>
          <w:color w:val="auto"/>
        </w:rPr>
        <w:t>Joseph Jimenez</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20"/>
          <w:szCs w:val="20"/>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793865" cy="1016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61</w:t>
      </w:r>
    </w:p>
    <w:p>
      <w:pPr>
        <w:sectPr>
          <w:pgSz w:w="11900" w:h="16838" w:orient="portrait"/>
          <w:cols w:equalWidth="0" w:num="1">
            <w:col w:w="11100"/>
          </w:cols>
          <w:pgMar w:left="320" w:top="456"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Executive Compensation Tables</w:t>
      </w:r>
    </w:p>
    <w:p>
      <w:pPr>
        <w:spacing w:after="0" w:line="155" w:lineRule="exact"/>
        <w:rPr>
          <w:sz w:val="20"/>
          <w:szCs w:val="20"/>
          <w:color w:val="auto"/>
        </w:rPr>
      </w:pPr>
    </w:p>
    <w:p>
      <w:pPr>
        <w:ind w:left="700" w:hanging="533"/>
        <w:spacing w:after="0"/>
        <w:tabs>
          <w:tab w:leader="none" w:pos="700" w:val="left"/>
        </w:tabs>
        <w:numPr>
          <w:ilvl w:val="0"/>
          <w:numId w:val="102"/>
        </w:numPr>
        <w:rPr>
          <w:rFonts w:ascii="Arial" w:cs="Arial" w:eastAsia="Arial" w:hAnsi="Arial"/>
          <w:sz w:val="25"/>
          <w:szCs w:val="25"/>
          <w:color w:val="0033A0"/>
        </w:rPr>
      </w:pPr>
      <w:r>
        <w:rPr>
          <w:rFonts w:ascii="Arial" w:cs="Arial" w:eastAsia="Arial" w:hAnsi="Arial"/>
          <w:sz w:val="25"/>
          <w:szCs w:val="25"/>
          <w:color w:val="auto"/>
        </w:rPr>
        <w:t>Summary Compensation Table</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100" w:type="dxa"/>
            <w:vAlign w:val="bottom"/>
            <w:tcBorders>
              <w:top w:val="single" w:sz="8" w:color="00A1DF"/>
            </w:tcBorders>
          </w:tcPr>
          <w:p>
            <w:pPr>
              <w:spacing w:after="0"/>
              <w:rPr>
                <w:sz w:val="14"/>
                <w:szCs w:val="14"/>
                <w:color w:val="auto"/>
              </w:rPr>
            </w:pPr>
          </w:p>
        </w:tc>
        <w:tc>
          <w:tcPr>
            <w:tcW w:w="580" w:type="dxa"/>
            <w:vAlign w:val="bottom"/>
            <w:tcBorders>
              <w:top w:val="single" w:sz="8" w:color="00A1DF"/>
            </w:tcBorders>
          </w:tcPr>
          <w:p>
            <w:pPr>
              <w:spacing w:after="0"/>
              <w:rPr>
                <w:sz w:val="14"/>
                <w:szCs w:val="14"/>
                <w:color w:val="auto"/>
              </w:rPr>
            </w:pPr>
          </w:p>
        </w:tc>
        <w:tc>
          <w:tcPr>
            <w:tcW w:w="840" w:type="dxa"/>
            <w:vAlign w:val="bottom"/>
            <w:tcBorders>
              <w:top w:val="single" w:sz="8" w:color="00A1DF"/>
            </w:tcBorders>
          </w:tcPr>
          <w:p>
            <w:pPr>
              <w:spacing w:after="0"/>
              <w:rPr>
                <w:sz w:val="14"/>
                <w:szCs w:val="14"/>
                <w:color w:val="auto"/>
              </w:rPr>
            </w:pPr>
          </w:p>
        </w:tc>
        <w:tc>
          <w:tcPr>
            <w:tcW w:w="680" w:type="dxa"/>
            <w:vAlign w:val="bottom"/>
            <w:tcBorders>
              <w:top w:val="single" w:sz="8" w:color="00A1DF"/>
            </w:tcBorders>
          </w:tcPr>
          <w:p>
            <w:pPr>
              <w:spacing w:after="0"/>
              <w:rPr>
                <w:sz w:val="14"/>
                <w:szCs w:val="14"/>
                <w:color w:val="auto"/>
              </w:rPr>
            </w:pPr>
          </w:p>
        </w:tc>
        <w:tc>
          <w:tcPr>
            <w:tcW w:w="660" w:type="dxa"/>
            <w:vAlign w:val="bottom"/>
            <w:tcBorders>
              <w:top w:val="single" w:sz="8" w:color="00A1DF"/>
            </w:tcBorders>
          </w:tcPr>
          <w:p>
            <w:pPr>
              <w:spacing w:after="0"/>
              <w:rPr>
                <w:sz w:val="14"/>
                <w:szCs w:val="14"/>
                <w:color w:val="auto"/>
              </w:rPr>
            </w:pPr>
          </w:p>
        </w:tc>
        <w:tc>
          <w:tcPr>
            <w:tcW w:w="260" w:type="dxa"/>
            <w:vAlign w:val="bottom"/>
            <w:tcBorders>
              <w:top w:val="single" w:sz="8" w:color="00A1DF"/>
            </w:tcBorders>
          </w:tcPr>
          <w:p>
            <w:pPr>
              <w:spacing w:after="0"/>
              <w:rPr>
                <w:sz w:val="14"/>
                <w:szCs w:val="14"/>
                <w:color w:val="auto"/>
              </w:rPr>
            </w:pPr>
          </w:p>
        </w:tc>
        <w:tc>
          <w:tcPr>
            <w:tcW w:w="880" w:type="dxa"/>
            <w:vAlign w:val="bottom"/>
            <w:tcBorders>
              <w:top w:val="single" w:sz="8" w:color="00A1DF"/>
            </w:tcBorders>
          </w:tcPr>
          <w:p>
            <w:pPr>
              <w:spacing w:after="0"/>
              <w:rPr>
                <w:sz w:val="14"/>
                <w:szCs w:val="14"/>
                <w:color w:val="auto"/>
              </w:rPr>
            </w:pPr>
          </w:p>
        </w:tc>
        <w:tc>
          <w:tcPr>
            <w:tcW w:w="1380" w:type="dxa"/>
            <w:vAlign w:val="bottom"/>
            <w:tcBorders>
              <w:top w:val="single" w:sz="8" w:color="00A1DF"/>
            </w:tcBorders>
          </w:tcPr>
          <w:p>
            <w:pPr>
              <w:spacing w:after="0"/>
              <w:rPr>
                <w:sz w:val="14"/>
                <w:szCs w:val="14"/>
                <w:color w:val="auto"/>
              </w:rPr>
            </w:pPr>
          </w:p>
        </w:tc>
        <w:tc>
          <w:tcPr>
            <w:tcW w:w="1240" w:type="dxa"/>
            <w:vAlign w:val="bottom"/>
            <w:tcBorders>
              <w:top w:val="single" w:sz="8" w:color="00A1DF"/>
            </w:tcBorders>
            <w:gridSpan w:val="2"/>
          </w:tcPr>
          <w:p>
            <w:pPr>
              <w:jc w:val="right"/>
              <w:ind w:right="30"/>
              <w:spacing w:after="0" w:line="166" w:lineRule="exact"/>
              <w:rPr>
                <w:sz w:val="20"/>
                <w:szCs w:val="20"/>
                <w:color w:val="auto"/>
              </w:rPr>
            </w:pPr>
            <w:r>
              <w:rPr>
                <w:rFonts w:ascii="Arial" w:cs="Arial" w:eastAsia="Arial" w:hAnsi="Arial"/>
                <w:sz w:val="15"/>
                <w:szCs w:val="15"/>
                <w:b w:val="1"/>
                <w:bCs w:val="1"/>
                <w:color w:val="00A1DF"/>
              </w:rPr>
              <w:t>Change in</w:t>
            </w:r>
          </w:p>
        </w:tc>
        <w:tc>
          <w:tcPr>
            <w:tcW w:w="1140" w:type="dxa"/>
            <w:vAlign w:val="bottom"/>
            <w:tcBorders>
              <w:top w:val="single" w:sz="8" w:color="00A1DF"/>
            </w:tcBorders>
          </w:tcPr>
          <w:p>
            <w:pPr>
              <w:spacing w:after="0"/>
              <w:rPr>
                <w:sz w:val="14"/>
                <w:szCs w:val="14"/>
                <w:color w:val="auto"/>
              </w:rPr>
            </w:pPr>
          </w:p>
        </w:tc>
        <w:tc>
          <w:tcPr>
            <w:tcW w:w="260" w:type="dxa"/>
            <w:vAlign w:val="bottom"/>
            <w:tcBorders>
              <w:top w:val="single" w:sz="8" w:color="00A1DF"/>
            </w:tcBorders>
          </w:tcPr>
          <w:p>
            <w:pPr>
              <w:spacing w:after="0"/>
              <w:rPr>
                <w:sz w:val="14"/>
                <w:szCs w:val="14"/>
                <w:color w:val="auto"/>
              </w:rPr>
            </w:pPr>
          </w:p>
        </w:tc>
        <w:tc>
          <w:tcPr>
            <w:tcW w:w="900" w:type="dxa"/>
            <w:vAlign w:val="bottom"/>
            <w:tcBorders>
              <w:top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gridSpan w:val="2"/>
          </w:tcPr>
          <w:p>
            <w:pPr>
              <w:jc w:val="right"/>
              <w:ind w:right="30"/>
              <w:spacing w:after="0" w:line="161" w:lineRule="exact"/>
              <w:rPr>
                <w:sz w:val="20"/>
                <w:szCs w:val="20"/>
                <w:color w:val="auto"/>
              </w:rPr>
            </w:pPr>
            <w:r>
              <w:rPr>
                <w:rFonts w:ascii="Arial" w:cs="Arial" w:eastAsia="Arial" w:hAnsi="Arial"/>
                <w:sz w:val="15"/>
                <w:szCs w:val="15"/>
                <w:b w:val="1"/>
                <w:bCs w:val="1"/>
                <w:color w:val="00A1DF"/>
              </w:rPr>
              <w:t>Pension</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gridSpan w:val="2"/>
          </w:tcPr>
          <w:p>
            <w:pPr>
              <w:jc w:val="right"/>
              <w:ind w:right="30"/>
              <w:spacing w:after="0" w:line="161" w:lineRule="exact"/>
              <w:rPr>
                <w:sz w:val="20"/>
                <w:szCs w:val="20"/>
                <w:color w:val="auto"/>
              </w:rPr>
            </w:pPr>
            <w:r>
              <w:rPr>
                <w:rFonts w:ascii="Arial" w:cs="Arial" w:eastAsia="Arial" w:hAnsi="Arial"/>
                <w:sz w:val="15"/>
                <w:szCs w:val="15"/>
                <w:b w:val="1"/>
                <w:bCs w:val="1"/>
                <w:color w:val="00A1DF"/>
              </w:rPr>
              <w:t>Value and</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right"/>
              <w:ind w:right="12"/>
              <w:spacing w:after="0" w:line="161" w:lineRule="exact"/>
              <w:rPr>
                <w:sz w:val="20"/>
                <w:szCs w:val="20"/>
                <w:color w:val="auto"/>
              </w:rPr>
            </w:pPr>
            <w:r>
              <w:rPr>
                <w:rFonts w:ascii="Arial" w:cs="Arial" w:eastAsia="Arial" w:hAnsi="Arial"/>
                <w:sz w:val="15"/>
                <w:szCs w:val="15"/>
                <w:b w:val="1"/>
                <w:bCs w:val="1"/>
                <w:color w:val="00A1DF"/>
              </w:rPr>
              <w:t>Nonequity</w:t>
            </w:r>
          </w:p>
        </w:tc>
        <w:tc>
          <w:tcPr>
            <w:tcW w:w="1240" w:type="dxa"/>
            <w:vAlign w:val="bottom"/>
            <w:gridSpan w:val="2"/>
          </w:tcPr>
          <w:p>
            <w:pPr>
              <w:jc w:val="right"/>
              <w:ind w:right="30"/>
              <w:spacing w:after="0" w:line="161" w:lineRule="exact"/>
              <w:rPr>
                <w:sz w:val="20"/>
                <w:szCs w:val="20"/>
                <w:color w:val="auto"/>
              </w:rPr>
            </w:pPr>
            <w:r>
              <w:rPr>
                <w:rFonts w:ascii="Arial" w:cs="Arial" w:eastAsia="Arial" w:hAnsi="Arial"/>
                <w:sz w:val="15"/>
                <w:szCs w:val="15"/>
                <w:b w:val="1"/>
                <w:bCs w:val="1"/>
                <w:color w:val="00A1DF"/>
              </w:rPr>
              <w:t>NQ Deferred</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line="169" w:lineRule="exact"/>
              <w:rPr>
                <w:sz w:val="20"/>
                <w:szCs w:val="20"/>
                <w:color w:val="auto"/>
              </w:rPr>
            </w:pPr>
            <w:r>
              <w:rPr>
                <w:rFonts w:ascii="Arial" w:cs="Arial" w:eastAsia="Arial" w:hAnsi="Arial"/>
                <w:sz w:val="15"/>
                <w:szCs w:val="15"/>
                <w:b w:val="1"/>
                <w:bCs w:val="1"/>
                <w:color w:val="00A1DF"/>
              </w:rPr>
              <w:t>Name and</w:t>
            </w:r>
          </w:p>
        </w:tc>
        <w:tc>
          <w:tcPr>
            <w:tcW w:w="58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00A1DF"/>
              </w:rPr>
              <w:t>Salary</w:t>
            </w:r>
          </w:p>
        </w:tc>
        <w:tc>
          <w:tcPr>
            <w:tcW w:w="68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00A1DF"/>
              </w:rPr>
              <w:t>Bonus</w:t>
            </w:r>
          </w:p>
        </w:tc>
        <w:tc>
          <w:tcPr>
            <w:tcW w:w="920" w:type="dxa"/>
            <w:vAlign w:val="bottom"/>
            <w:gridSpan w:val="2"/>
          </w:tcPr>
          <w:p>
            <w:pPr>
              <w:jc w:val="right"/>
              <w:ind w:right="36"/>
              <w:spacing w:after="0" w:line="169" w:lineRule="exact"/>
              <w:rPr>
                <w:sz w:val="20"/>
                <w:szCs w:val="20"/>
                <w:color w:val="auto"/>
              </w:rPr>
            </w:pPr>
            <w:r>
              <w:rPr>
                <w:rFonts w:ascii="Arial" w:cs="Arial" w:eastAsia="Arial" w:hAnsi="Arial"/>
                <w:sz w:val="15"/>
                <w:szCs w:val="15"/>
                <w:b w:val="1"/>
                <w:bCs w:val="1"/>
                <w:color w:val="00A1DF"/>
              </w:rPr>
              <w:t>Stock</w:t>
            </w:r>
          </w:p>
        </w:tc>
        <w:tc>
          <w:tcPr>
            <w:tcW w:w="880" w:type="dxa"/>
            <w:vAlign w:val="bottom"/>
          </w:tcPr>
          <w:p>
            <w:pPr>
              <w:jc w:val="right"/>
              <w:ind w:right="32"/>
              <w:spacing w:after="0" w:line="169" w:lineRule="exact"/>
              <w:rPr>
                <w:sz w:val="20"/>
                <w:szCs w:val="20"/>
                <w:color w:val="auto"/>
              </w:rPr>
            </w:pPr>
            <w:r>
              <w:rPr>
                <w:rFonts w:ascii="Arial" w:cs="Arial" w:eastAsia="Arial" w:hAnsi="Arial"/>
                <w:sz w:val="15"/>
                <w:szCs w:val="15"/>
                <w:b w:val="1"/>
                <w:bCs w:val="1"/>
                <w:color w:val="00A1DF"/>
              </w:rPr>
              <w:t>Option</w:t>
            </w:r>
          </w:p>
        </w:tc>
        <w:tc>
          <w:tcPr>
            <w:tcW w:w="1380" w:type="dxa"/>
            <w:vAlign w:val="bottom"/>
          </w:tcPr>
          <w:p>
            <w:pPr>
              <w:jc w:val="right"/>
              <w:ind w:right="12"/>
              <w:spacing w:after="0" w:line="169" w:lineRule="exact"/>
              <w:rPr>
                <w:sz w:val="20"/>
                <w:szCs w:val="20"/>
                <w:color w:val="auto"/>
              </w:rPr>
            </w:pPr>
            <w:r>
              <w:rPr>
                <w:rFonts w:ascii="Arial" w:cs="Arial" w:eastAsia="Arial" w:hAnsi="Arial"/>
                <w:sz w:val="15"/>
                <w:szCs w:val="15"/>
                <w:b w:val="1"/>
                <w:bCs w:val="1"/>
                <w:color w:val="00A1DF"/>
              </w:rPr>
              <w:t>Incentive Plan</w:t>
            </w:r>
          </w:p>
        </w:tc>
        <w:tc>
          <w:tcPr>
            <w:tcW w:w="1240" w:type="dxa"/>
            <w:vAlign w:val="bottom"/>
            <w:gridSpan w:val="2"/>
          </w:tcPr>
          <w:p>
            <w:pPr>
              <w:jc w:val="right"/>
              <w:ind w:right="30"/>
              <w:spacing w:after="0" w:line="169" w:lineRule="exact"/>
              <w:rPr>
                <w:sz w:val="20"/>
                <w:szCs w:val="20"/>
                <w:color w:val="auto"/>
              </w:rPr>
            </w:pPr>
            <w:r>
              <w:rPr>
                <w:rFonts w:ascii="Arial" w:cs="Arial" w:eastAsia="Arial" w:hAnsi="Arial"/>
                <w:sz w:val="15"/>
                <w:szCs w:val="15"/>
                <w:b w:val="1"/>
                <w:bCs w:val="1"/>
                <w:color w:val="00A1DF"/>
              </w:rPr>
              <w:t>Compensation</w:t>
            </w:r>
          </w:p>
        </w:tc>
        <w:tc>
          <w:tcPr>
            <w:tcW w:w="1400" w:type="dxa"/>
            <w:vAlign w:val="bottom"/>
            <w:gridSpan w:val="2"/>
          </w:tcPr>
          <w:p>
            <w:pPr>
              <w:jc w:val="right"/>
              <w:ind w:right="36"/>
              <w:spacing w:after="0" w:line="169" w:lineRule="exact"/>
              <w:rPr>
                <w:sz w:val="20"/>
                <w:szCs w:val="20"/>
                <w:color w:val="auto"/>
              </w:rPr>
            </w:pPr>
            <w:r>
              <w:rPr>
                <w:rFonts w:ascii="Arial" w:cs="Arial" w:eastAsia="Arial" w:hAnsi="Arial"/>
                <w:sz w:val="15"/>
                <w:szCs w:val="15"/>
                <w:b w:val="1"/>
                <w:bCs w:val="1"/>
                <w:color w:val="00A1DF"/>
              </w:rPr>
              <w:t>All Other</w:t>
            </w:r>
          </w:p>
        </w:tc>
        <w:tc>
          <w:tcPr>
            <w:tcW w:w="90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00A1DF"/>
              </w:rPr>
              <w:t>Total</w:t>
            </w:r>
          </w:p>
        </w:tc>
        <w:tc>
          <w:tcPr>
            <w:tcW w:w="0" w:type="dxa"/>
            <w:vAlign w:val="bottom"/>
          </w:tcPr>
          <w:p>
            <w:pPr>
              <w:spacing w:after="0"/>
              <w:rPr>
                <w:sz w:val="1"/>
                <w:szCs w:val="1"/>
                <w:color w:val="auto"/>
              </w:rPr>
            </w:pPr>
          </w:p>
        </w:tc>
      </w:tr>
      <w:tr>
        <w:trPr>
          <w:trHeight w:val="17"/>
        </w:trPr>
        <w:tc>
          <w:tcPr>
            <w:tcW w:w="2100" w:type="dxa"/>
            <w:vAlign w:val="bottom"/>
          </w:tcPr>
          <w:p>
            <w:pPr>
              <w:spacing w:after="0"/>
              <w:rPr>
                <w:sz w:val="20"/>
                <w:szCs w:val="20"/>
                <w:color w:val="auto"/>
              </w:rPr>
            </w:pPr>
            <w:r>
              <w:rPr>
                <w:rFonts w:ascii="Arial" w:cs="Arial" w:eastAsia="Arial" w:hAnsi="Arial"/>
                <w:sz w:val="1"/>
                <w:szCs w:val="1"/>
                <w:b w:val="1"/>
                <w:bCs w:val="1"/>
                <w:color w:val="00A1DF"/>
              </w:rPr>
              <w:t>Principal</w:t>
            </w:r>
          </w:p>
        </w:tc>
        <w:tc>
          <w:tcPr>
            <w:tcW w:w="5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660" w:type="dxa"/>
            <w:vAlign w:val="bottom"/>
          </w:tcPr>
          <w:p>
            <w:pPr>
              <w:ind w:left="120"/>
              <w:spacing w:after="0"/>
              <w:rPr>
                <w:sz w:val="20"/>
                <w:szCs w:val="20"/>
                <w:color w:val="auto"/>
              </w:rPr>
            </w:pPr>
            <w:r>
              <w:rPr>
                <w:rFonts w:ascii="Arial" w:cs="Arial" w:eastAsia="Arial" w:hAnsi="Arial"/>
                <w:sz w:val="1"/>
                <w:szCs w:val="1"/>
                <w:b w:val="1"/>
                <w:bCs w:val="1"/>
                <w:color w:val="00A1DF"/>
              </w:rPr>
              <w:t>Awards</w:t>
            </w:r>
          </w:p>
        </w:tc>
        <w:tc>
          <w:tcPr>
            <w:tcW w:w="2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00A1DF"/>
                <w:w w:val="87"/>
              </w:rPr>
              <w:t>(2)</w:t>
            </w:r>
          </w:p>
        </w:tc>
        <w:tc>
          <w:tcPr>
            <w:tcW w:w="880" w:type="dxa"/>
            <w:vAlign w:val="bottom"/>
          </w:tcPr>
          <w:p>
            <w:pPr>
              <w:jc w:val="right"/>
              <w:ind w:right="192"/>
              <w:spacing w:after="0"/>
              <w:rPr>
                <w:sz w:val="20"/>
                <w:szCs w:val="20"/>
                <w:color w:val="auto"/>
              </w:rPr>
            </w:pPr>
            <w:r>
              <w:rPr>
                <w:rFonts w:ascii="Arial" w:cs="Arial" w:eastAsia="Arial" w:hAnsi="Arial"/>
                <w:sz w:val="1"/>
                <w:szCs w:val="1"/>
                <w:b w:val="1"/>
                <w:bCs w:val="1"/>
                <w:color w:val="00A1DF"/>
              </w:rPr>
              <w:t>Awards</w:t>
            </w:r>
          </w:p>
        </w:tc>
        <w:tc>
          <w:tcPr>
            <w:tcW w:w="1380" w:type="dxa"/>
            <w:vAlign w:val="bottom"/>
          </w:tcPr>
          <w:p>
            <w:pPr>
              <w:jc w:val="right"/>
              <w:ind w:right="172"/>
              <w:spacing w:after="0"/>
              <w:rPr>
                <w:sz w:val="20"/>
                <w:szCs w:val="20"/>
                <w:color w:val="auto"/>
              </w:rPr>
            </w:pPr>
            <w:r>
              <w:rPr>
                <w:rFonts w:ascii="Arial" w:cs="Arial" w:eastAsia="Arial" w:hAnsi="Arial"/>
                <w:sz w:val="1"/>
                <w:szCs w:val="1"/>
                <w:b w:val="1"/>
                <w:bCs w:val="1"/>
                <w:color w:val="00A1DF"/>
              </w:rPr>
              <w:t>Compensation</w:t>
            </w:r>
          </w:p>
        </w:tc>
        <w:tc>
          <w:tcPr>
            <w:tcW w:w="980" w:type="dxa"/>
            <w:vAlign w:val="bottom"/>
          </w:tcPr>
          <w:p>
            <w:pPr>
              <w:ind w:left="340"/>
              <w:spacing w:after="0"/>
              <w:rPr>
                <w:sz w:val="20"/>
                <w:szCs w:val="20"/>
                <w:color w:val="auto"/>
              </w:rPr>
            </w:pPr>
            <w:r>
              <w:rPr>
                <w:rFonts w:ascii="Arial" w:cs="Arial" w:eastAsia="Arial" w:hAnsi="Arial"/>
                <w:sz w:val="1"/>
                <w:szCs w:val="1"/>
                <w:b w:val="1"/>
                <w:bCs w:val="1"/>
                <w:color w:val="00A1DF"/>
              </w:rPr>
              <w:t>Earnings</w:t>
            </w:r>
          </w:p>
        </w:tc>
        <w:tc>
          <w:tcPr>
            <w:tcW w:w="2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00A1DF"/>
                <w:w w:val="87"/>
              </w:rPr>
              <w:t>(5)</w:t>
            </w:r>
          </w:p>
        </w:tc>
        <w:tc>
          <w:tcPr>
            <w:tcW w:w="1140" w:type="dxa"/>
            <w:vAlign w:val="bottom"/>
          </w:tcPr>
          <w:p>
            <w:pPr>
              <w:ind w:left="80"/>
              <w:spacing w:after="0"/>
              <w:rPr>
                <w:sz w:val="20"/>
                <w:szCs w:val="20"/>
                <w:color w:val="auto"/>
              </w:rPr>
            </w:pPr>
            <w:r>
              <w:rPr>
                <w:rFonts w:ascii="Arial" w:cs="Arial" w:eastAsia="Arial" w:hAnsi="Arial"/>
                <w:sz w:val="1"/>
                <w:szCs w:val="1"/>
                <w:b w:val="1"/>
                <w:bCs w:val="1"/>
                <w:color w:val="00A1DF"/>
              </w:rPr>
              <w:t>Compensation</w:t>
            </w:r>
          </w:p>
        </w:tc>
        <w:tc>
          <w:tcPr>
            <w:tcW w:w="26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00A1DF"/>
                <w:w w:val="87"/>
              </w:rPr>
              <w:t>(6)</w:t>
            </w: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80" w:type="dxa"/>
            <w:vAlign w:val="bottom"/>
          </w:tcPr>
          <w:p>
            <w:pPr>
              <w:jc w:val="right"/>
              <w:ind w:right="32"/>
              <w:spacing w:after="0" w:line="136" w:lineRule="exact"/>
              <w:rPr>
                <w:sz w:val="20"/>
                <w:szCs w:val="20"/>
                <w:color w:val="auto"/>
              </w:rPr>
            </w:pPr>
            <w:r>
              <w:rPr>
                <w:rFonts w:ascii="Arial" w:cs="Arial" w:eastAsia="Arial" w:hAnsi="Arial"/>
                <w:sz w:val="13"/>
                <w:szCs w:val="13"/>
                <w:b w:val="1"/>
                <w:bCs w:val="1"/>
                <w:color w:val="00A1DF"/>
              </w:rPr>
              <w:t>(3)</w:t>
            </w:r>
          </w:p>
        </w:tc>
        <w:tc>
          <w:tcPr>
            <w:tcW w:w="1380" w:type="dxa"/>
            <w:vAlign w:val="bottom"/>
          </w:tcPr>
          <w:p>
            <w:pPr>
              <w:jc w:val="right"/>
              <w:ind w:right="12"/>
              <w:spacing w:after="0" w:line="136" w:lineRule="exact"/>
              <w:rPr>
                <w:sz w:val="20"/>
                <w:szCs w:val="20"/>
                <w:color w:val="auto"/>
              </w:rPr>
            </w:pPr>
            <w:r>
              <w:rPr>
                <w:rFonts w:ascii="Arial" w:cs="Arial" w:eastAsia="Arial" w:hAnsi="Arial"/>
                <w:sz w:val="13"/>
                <w:szCs w:val="13"/>
                <w:b w:val="1"/>
                <w:bCs w:val="1"/>
                <w:color w:val="00A1DF"/>
              </w:rPr>
              <w:t>(4)</w:t>
            </w:r>
          </w:p>
        </w:tc>
        <w:tc>
          <w:tcPr>
            <w:tcW w:w="9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5"/>
                <w:szCs w:val="15"/>
                <w:b w:val="1"/>
                <w:bCs w:val="1"/>
                <w:color w:val="00A1DF"/>
              </w:rPr>
              <w:t>Position</w:t>
            </w:r>
            <w:r>
              <w:rPr>
                <w:rFonts w:ascii="Arial" w:cs="Arial" w:eastAsia="Arial" w:hAnsi="Arial"/>
                <w:sz w:val="12"/>
                <w:szCs w:val="12"/>
                <w:b w:val="1"/>
                <w:bCs w:val="1"/>
                <w:color w:val="00A1DF"/>
              </w:rPr>
              <w:t>(1)</w:t>
            </w:r>
          </w:p>
        </w:tc>
        <w:tc>
          <w:tcPr>
            <w:tcW w:w="580" w:type="dxa"/>
            <w:vAlign w:val="bottom"/>
          </w:tcPr>
          <w:p>
            <w:pPr>
              <w:ind w:left="160"/>
              <w:spacing w:after="0"/>
              <w:rPr>
                <w:sz w:val="20"/>
                <w:szCs w:val="20"/>
                <w:color w:val="auto"/>
              </w:rPr>
            </w:pPr>
            <w:r>
              <w:rPr>
                <w:rFonts w:ascii="Arial" w:cs="Arial" w:eastAsia="Arial" w:hAnsi="Arial"/>
                <w:sz w:val="15"/>
                <w:szCs w:val="15"/>
                <w:b w:val="1"/>
                <w:bCs w:val="1"/>
                <w:color w:val="00A1DF"/>
              </w:rPr>
              <w:t>Year</w:t>
            </w:r>
          </w:p>
        </w:tc>
        <w:tc>
          <w:tcPr>
            <w:tcW w:w="840" w:type="dxa"/>
            <w:vAlign w:val="bottom"/>
          </w:tcPr>
          <w:p>
            <w:pPr>
              <w:jc w:val="right"/>
              <w:ind w:right="8"/>
              <w:spacing w:after="0"/>
              <w:rPr>
                <w:sz w:val="20"/>
                <w:szCs w:val="20"/>
                <w:color w:val="auto"/>
              </w:rPr>
            </w:pPr>
            <w:r>
              <w:rPr>
                <w:rFonts w:ascii="Arial" w:cs="Arial" w:eastAsia="Arial" w:hAnsi="Arial"/>
                <w:sz w:val="15"/>
                <w:szCs w:val="15"/>
                <w:b w:val="1"/>
                <w:bCs w:val="1"/>
                <w:color w:val="00A1DF"/>
              </w:rPr>
              <w:t>($)</w:t>
            </w:r>
          </w:p>
        </w:tc>
        <w:tc>
          <w:tcPr>
            <w:tcW w:w="680" w:type="dxa"/>
            <w:vAlign w:val="bottom"/>
          </w:tcPr>
          <w:p>
            <w:pPr>
              <w:jc w:val="right"/>
              <w:ind w:right="48"/>
              <w:spacing w:after="0"/>
              <w:rPr>
                <w:sz w:val="20"/>
                <w:szCs w:val="20"/>
                <w:color w:val="auto"/>
              </w:rPr>
            </w:pPr>
            <w:r>
              <w:rPr>
                <w:rFonts w:ascii="Arial" w:cs="Arial" w:eastAsia="Arial" w:hAnsi="Arial"/>
                <w:sz w:val="15"/>
                <w:szCs w:val="15"/>
                <w:b w:val="1"/>
                <w:bCs w:val="1"/>
                <w:color w:val="00A1DF"/>
              </w:rPr>
              <w:t>($)</w:t>
            </w:r>
          </w:p>
        </w:tc>
        <w:tc>
          <w:tcPr>
            <w:tcW w:w="920" w:type="dxa"/>
            <w:vAlign w:val="bottom"/>
            <w:gridSpan w:val="2"/>
          </w:tcPr>
          <w:p>
            <w:pPr>
              <w:jc w:val="right"/>
              <w:ind w:right="36"/>
              <w:spacing w:after="0"/>
              <w:rPr>
                <w:sz w:val="20"/>
                <w:szCs w:val="20"/>
                <w:color w:val="auto"/>
              </w:rPr>
            </w:pPr>
            <w:r>
              <w:rPr>
                <w:rFonts w:ascii="Arial" w:cs="Arial" w:eastAsia="Arial" w:hAnsi="Arial"/>
                <w:sz w:val="15"/>
                <w:szCs w:val="15"/>
                <w:b w:val="1"/>
                <w:bCs w:val="1"/>
                <w:color w:val="00A1DF"/>
              </w:rPr>
              <w:t>($)</w:t>
            </w:r>
          </w:p>
        </w:tc>
        <w:tc>
          <w:tcPr>
            <w:tcW w:w="880" w:type="dxa"/>
            <w:vAlign w:val="bottom"/>
          </w:tcPr>
          <w:p>
            <w:pPr>
              <w:jc w:val="right"/>
              <w:ind w:right="32"/>
              <w:spacing w:after="0"/>
              <w:rPr>
                <w:sz w:val="20"/>
                <w:szCs w:val="20"/>
                <w:color w:val="auto"/>
              </w:rPr>
            </w:pPr>
            <w:r>
              <w:rPr>
                <w:rFonts w:ascii="Arial" w:cs="Arial" w:eastAsia="Arial" w:hAnsi="Arial"/>
                <w:sz w:val="15"/>
                <w:szCs w:val="15"/>
                <w:b w:val="1"/>
                <w:bCs w:val="1"/>
                <w:color w:val="00A1DF"/>
              </w:rPr>
              <w:t>($)</w:t>
            </w:r>
          </w:p>
        </w:tc>
        <w:tc>
          <w:tcPr>
            <w:tcW w:w="1380" w:type="dxa"/>
            <w:vAlign w:val="bottom"/>
          </w:tcPr>
          <w:p>
            <w:pPr>
              <w:jc w:val="right"/>
              <w:ind w:right="12"/>
              <w:spacing w:after="0"/>
              <w:rPr>
                <w:sz w:val="20"/>
                <w:szCs w:val="20"/>
                <w:color w:val="auto"/>
              </w:rPr>
            </w:pPr>
            <w:r>
              <w:rPr>
                <w:rFonts w:ascii="Arial" w:cs="Arial" w:eastAsia="Arial" w:hAnsi="Arial"/>
                <w:sz w:val="15"/>
                <w:szCs w:val="15"/>
                <w:b w:val="1"/>
                <w:bCs w:val="1"/>
                <w:color w:val="00A1DF"/>
              </w:rPr>
              <w:t>($)</w:t>
            </w:r>
          </w:p>
        </w:tc>
        <w:tc>
          <w:tcPr>
            <w:tcW w:w="1240" w:type="dxa"/>
            <w:vAlign w:val="bottom"/>
            <w:gridSpan w:val="2"/>
          </w:tcPr>
          <w:p>
            <w:pPr>
              <w:jc w:val="right"/>
              <w:ind w:right="30"/>
              <w:spacing w:after="0"/>
              <w:rPr>
                <w:sz w:val="20"/>
                <w:szCs w:val="20"/>
                <w:color w:val="auto"/>
              </w:rPr>
            </w:pPr>
            <w:r>
              <w:rPr>
                <w:rFonts w:ascii="Arial" w:cs="Arial" w:eastAsia="Arial" w:hAnsi="Arial"/>
                <w:sz w:val="15"/>
                <w:szCs w:val="15"/>
                <w:b w:val="1"/>
                <w:bCs w:val="1"/>
                <w:color w:val="00A1DF"/>
              </w:rPr>
              <w:t>($)</w:t>
            </w:r>
          </w:p>
        </w:tc>
        <w:tc>
          <w:tcPr>
            <w:tcW w:w="1400" w:type="dxa"/>
            <w:vAlign w:val="bottom"/>
            <w:gridSpan w:val="2"/>
          </w:tcPr>
          <w:p>
            <w:pPr>
              <w:jc w:val="right"/>
              <w:ind w:right="36"/>
              <w:spacing w:after="0"/>
              <w:rPr>
                <w:sz w:val="20"/>
                <w:szCs w:val="20"/>
                <w:color w:val="auto"/>
              </w:rPr>
            </w:pPr>
            <w:r>
              <w:rPr>
                <w:rFonts w:ascii="Arial" w:cs="Arial" w:eastAsia="Arial" w:hAnsi="Arial"/>
                <w:sz w:val="15"/>
                <w:szCs w:val="15"/>
                <w:b w:val="1"/>
                <w:bCs w:val="1"/>
                <w:color w:val="00A1DF"/>
              </w:rPr>
              <w:t>($)</w:t>
            </w:r>
          </w:p>
        </w:tc>
        <w:tc>
          <w:tcPr>
            <w:tcW w:w="900" w:type="dxa"/>
            <w:vAlign w:val="bottom"/>
          </w:tcPr>
          <w:p>
            <w:pPr>
              <w:jc w:val="right"/>
              <w:ind w:right="8"/>
              <w:spacing w:after="0"/>
              <w:rPr>
                <w:sz w:val="20"/>
                <w:szCs w:val="20"/>
                <w:color w:val="auto"/>
              </w:rPr>
            </w:pPr>
            <w:r>
              <w:rPr>
                <w:rFonts w:ascii="Arial" w:cs="Arial" w:eastAsia="Arial" w:hAnsi="Arial"/>
                <w:sz w:val="15"/>
                <w:szCs w:val="15"/>
                <w:b w:val="1"/>
                <w:bCs w:val="1"/>
                <w:color w:val="00A1DF"/>
              </w:rPr>
              <w:t>($)</w:t>
            </w:r>
          </w:p>
        </w:tc>
        <w:tc>
          <w:tcPr>
            <w:tcW w:w="0" w:type="dxa"/>
            <w:vAlign w:val="bottom"/>
          </w:tcPr>
          <w:p>
            <w:pPr>
              <w:spacing w:after="0"/>
              <w:rPr>
                <w:sz w:val="1"/>
                <w:szCs w:val="1"/>
                <w:color w:val="auto"/>
              </w:rPr>
            </w:pPr>
          </w:p>
        </w:tc>
      </w:tr>
      <w:tr>
        <w:trPr>
          <w:trHeight w:val="63"/>
        </w:trPr>
        <w:tc>
          <w:tcPr>
            <w:tcW w:w="2100" w:type="dxa"/>
            <w:vAlign w:val="bottom"/>
            <w:tcBorders>
              <w:bottom w:val="single" w:sz="8" w:color="00A1DF"/>
            </w:tcBorders>
          </w:tcPr>
          <w:p>
            <w:pPr>
              <w:spacing w:after="0"/>
              <w:rPr>
                <w:sz w:val="5"/>
                <w:szCs w:val="5"/>
                <w:color w:val="auto"/>
              </w:rPr>
            </w:pPr>
          </w:p>
        </w:tc>
        <w:tc>
          <w:tcPr>
            <w:tcW w:w="580" w:type="dxa"/>
            <w:vAlign w:val="bottom"/>
            <w:tcBorders>
              <w:bottom w:val="single" w:sz="8" w:color="00A1DF"/>
            </w:tcBorders>
          </w:tcPr>
          <w:p>
            <w:pPr>
              <w:spacing w:after="0"/>
              <w:rPr>
                <w:sz w:val="5"/>
                <w:szCs w:val="5"/>
                <w:color w:val="auto"/>
              </w:rPr>
            </w:pPr>
          </w:p>
        </w:tc>
        <w:tc>
          <w:tcPr>
            <w:tcW w:w="840" w:type="dxa"/>
            <w:vAlign w:val="bottom"/>
            <w:tcBorders>
              <w:bottom w:val="single" w:sz="8" w:color="00A1DF"/>
            </w:tcBorders>
          </w:tcPr>
          <w:p>
            <w:pPr>
              <w:spacing w:after="0"/>
              <w:rPr>
                <w:sz w:val="5"/>
                <w:szCs w:val="5"/>
                <w:color w:val="auto"/>
              </w:rPr>
            </w:pPr>
          </w:p>
        </w:tc>
        <w:tc>
          <w:tcPr>
            <w:tcW w:w="680" w:type="dxa"/>
            <w:vAlign w:val="bottom"/>
            <w:tcBorders>
              <w:bottom w:val="single" w:sz="8" w:color="00A1DF"/>
            </w:tcBorders>
          </w:tcPr>
          <w:p>
            <w:pPr>
              <w:spacing w:after="0"/>
              <w:rPr>
                <w:sz w:val="5"/>
                <w:szCs w:val="5"/>
                <w:color w:val="auto"/>
              </w:rPr>
            </w:pPr>
          </w:p>
        </w:tc>
        <w:tc>
          <w:tcPr>
            <w:tcW w:w="920" w:type="dxa"/>
            <w:vAlign w:val="bottom"/>
            <w:tcBorders>
              <w:bottom w:val="single" w:sz="8" w:color="00A1DF"/>
            </w:tcBorders>
            <w:gridSpan w:val="2"/>
          </w:tcPr>
          <w:p>
            <w:pPr>
              <w:spacing w:after="0"/>
              <w:rPr>
                <w:sz w:val="5"/>
                <w:szCs w:val="5"/>
                <w:color w:val="auto"/>
              </w:rPr>
            </w:pPr>
          </w:p>
        </w:tc>
        <w:tc>
          <w:tcPr>
            <w:tcW w:w="880" w:type="dxa"/>
            <w:vAlign w:val="bottom"/>
            <w:tcBorders>
              <w:bottom w:val="single" w:sz="8" w:color="00A1DF"/>
            </w:tcBorders>
          </w:tcPr>
          <w:p>
            <w:pPr>
              <w:spacing w:after="0"/>
              <w:rPr>
                <w:sz w:val="5"/>
                <w:szCs w:val="5"/>
                <w:color w:val="auto"/>
              </w:rPr>
            </w:pPr>
          </w:p>
        </w:tc>
        <w:tc>
          <w:tcPr>
            <w:tcW w:w="1380" w:type="dxa"/>
            <w:vAlign w:val="bottom"/>
            <w:tcBorders>
              <w:bottom w:val="single" w:sz="8" w:color="00A1DF"/>
            </w:tcBorders>
          </w:tcPr>
          <w:p>
            <w:pPr>
              <w:spacing w:after="0"/>
              <w:rPr>
                <w:sz w:val="5"/>
                <w:szCs w:val="5"/>
                <w:color w:val="auto"/>
              </w:rPr>
            </w:pPr>
          </w:p>
        </w:tc>
        <w:tc>
          <w:tcPr>
            <w:tcW w:w="1240" w:type="dxa"/>
            <w:vAlign w:val="bottom"/>
            <w:tcBorders>
              <w:bottom w:val="single" w:sz="8" w:color="00A1DF"/>
            </w:tcBorders>
            <w:gridSpan w:val="2"/>
          </w:tcPr>
          <w:p>
            <w:pPr>
              <w:spacing w:after="0"/>
              <w:rPr>
                <w:sz w:val="5"/>
                <w:szCs w:val="5"/>
                <w:color w:val="auto"/>
              </w:rPr>
            </w:pPr>
          </w:p>
        </w:tc>
        <w:tc>
          <w:tcPr>
            <w:tcW w:w="1400" w:type="dxa"/>
            <w:vAlign w:val="bottom"/>
            <w:tcBorders>
              <w:bottom w:val="single" w:sz="8" w:color="00A1DF"/>
            </w:tcBorders>
            <w:gridSpan w:val="2"/>
          </w:tcPr>
          <w:p>
            <w:pPr>
              <w:spacing w:after="0"/>
              <w:rPr>
                <w:sz w:val="5"/>
                <w:szCs w:val="5"/>
                <w:color w:val="auto"/>
              </w:rPr>
            </w:pPr>
          </w:p>
        </w:tc>
        <w:tc>
          <w:tcPr>
            <w:tcW w:w="90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Mary T. Barra</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12,141,801</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3,525,000</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2,730,000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302,986</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831,080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21,630,867</w:t>
            </w:r>
          </w:p>
        </w:tc>
        <w:tc>
          <w:tcPr>
            <w:tcW w:w="0" w:type="dxa"/>
            <w:vAlign w:val="bottom"/>
          </w:tcPr>
          <w:p>
            <w:pPr>
              <w:spacing w:after="0"/>
              <w:rPr>
                <w:sz w:val="1"/>
                <w:szCs w:val="1"/>
                <w:color w:val="auto"/>
              </w:rPr>
            </w:pPr>
          </w:p>
        </w:tc>
      </w:tr>
      <w:tr>
        <w:trPr>
          <w:trHeight w:val="62"/>
        </w:trPr>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Chairman and Chief</w:t>
            </w: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100" w:type="dxa"/>
            <w:vAlign w:val="bottom"/>
            <w:vMerge w:val="continue"/>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2,100,000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11,081,760</w:t>
            </w: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color w:val="auto"/>
              </w:rPr>
              <w:t>3,425,006</w:t>
            </w:r>
          </w:p>
        </w:tc>
        <w:tc>
          <w:tcPr>
            <w:tcW w:w="1380" w:type="dxa"/>
            <w:vAlign w:val="bottom"/>
            <w:vMerge w:val="restart"/>
          </w:tcPr>
          <w:p>
            <w:pPr>
              <w:jc w:val="right"/>
              <w:ind w:right="12"/>
              <w:spacing w:after="0"/>
              <w:rPr>
                <w:sz w:val="20"/>
                <w:szCs w:val="20"/>
                <w:color w:val="auto"/>
              </w:rPr>
            </w:pPr>
            <w:r>
              <w:rPr>
                <w:rFonts w:ascii="Arial" w:cs="Arial" w:eastAsia="Arial" w:hAnsi="Arial"/>
                <w:sz w:val="14"/>
                <w:szCs w:val="14"/>
                <w:color w:val="auto"/>
              </w:rPr>
              <w:t>4,452,000</w:t>
            </w:r>
          </w:p>
        </w:tc>
        <w:tc>
          <w:tcPr>
            <w:tcW w:w="980" w:type="dxa"/>
            <w:vAlign w:val="bottom"/>
          </w:tcPr>
          <w:p>
            <w:pPr>
              <w:spacing w:after="0"/>
              <w:rPr>
                <w:sz w:val="6"/>
                <w:szCs w:val="6"/>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811,684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21,870,450</w:t>
            </w:r>
          </w:p>
        </w:tc>
        <w:tc>
          <w:tcPr>
            <w:tcW w:w="0" w:type="dxa"/>
            <w:vAlign w:val="bottom"/>
          </w:tcPr>
          <w:p>
            <w:pPr>
              <w:spacing w:after="0"/>
              <w:rPr>
                <w:sz w:val="1"/>
                <w:szCs w:val="1"/>
                <w:color w:val="auto"/>
              </w:rPr>
            </w:pPr>
          </w:p>
        </w:tc>
      </w:tr>
      <w:tr>
        <w:trPr>
          <w:trHeight w:val="91"/>
        </w:trPr>
        <w:tc>
          <w:tcPr>
            <w:tcW w:w="2100" w:type="dxa"/>
            <w:vAlign w:val="bottom"/>
            <w:vMerge w:val="restart"/>
          </w:tcPr>
          <w:p>
            <w:pPr>
              <w:ind w:left="80"/>
              <w:spacing w:after="0" w:line="143" w:lineRule="exact"/>
              <w:rPr>
                <w:sz w:val="20"/>
                <w:szCs w:val="20"/>
                <w:color w:val="auto"/>
              </w:rPr>
            </w:pPr>
            <w:r>
              <w:rPr>
                <w:rFonts w:ascii="Arial" w:cs="Arial" w:eastAsia="Arial" w:hAnsi="Arial"/>
                <w:sz w:val="14"/>
                <w:szCs w:val="14"/>
                <w:color w:val="auto"/>
              </w:rPr>
              <w:t>Executive Officer</w:t>
            </w:r>
          </w:p>
        </w:tc>
        <w:tc>
          <w:tcPr>
            <w:tcW w:w="5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100" w:type="dxa"/>
            <w:vAlign w:val="bottom"/>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10,737,570</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3,250,003</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4,956,000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52,792</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861,683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21,958,048</w:t>
            </w:r>
          </w:p>
        </w:tc>
        <w:tc>
          <w:tcPr>
            <w:tcW w:w="0" w:type="dxa"/>
            <w:vAlign w:val="bottom"/>
          </w:tcPr>
          <w:p>
            <w:pPr>
              <w:spacing w:after="0"/>
              <w:rPr>
                <w:sz w:val="1"/>
                <w:szCs w:val="1"/>
                <w:color w:val="auto"/>
              </w:rPr>
            </w:pPr>
          </w:p>
        </w:tc>
      </w:tr>
      <w:tr>
        <w:trPr>
          <w:trHeight w:val="52"/>
        </w:trPr>
        <w:tc>
          <w:tcPr>
            <w:tcW w:w="2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Dhivya Suryadevara</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3,659,772</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1,062,503</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875,000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2,890</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167,392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6,767,557</w:t>
            </w:r>
          </w:p>
        </w:tc>
        <w:tc>
          <w:tcPr>
            <w:tcW w:w="0" w:type="dxa"/>
            <w:vAlign w:val="bottom"/>
          </w:tcPr>
          <w:p>
            <w:pPr>
              <w:spacing w:after="0"/>
              <w:rPr>
                <w:sz w:val="1"/>
                <w:szCs w:val="1"/>
                <w:color w:val="auto"/>
              </w:rPr>
            </w:pPr>
          </w:p>
        </w:tc>
      </w:tr>
      <w:tr>
        <w:trPr>
          <w:trHeight w:val="94"/>
        </w:trPr>
        <w:tc>
          <w:tcPr>
            <w:tcW w:w="2100" w:type="dxa"/>
            <w:vAlign w:val="bottom"/>
            <w:vMerge w:val="restart"/>
          </w:tcPr>
          <w:p>
            <w:pPr>
              <w:ind w:left="80"/>
              <w:spacing w:after="0" w:line="152" w:lineRule="exact"/>
              <w:rPr>
                <w:sz w:val="20"/>
                <w:szCs w:val="20"/>
                <w:color w:val="auto"/>
              </w:rPr>
            </w:pPr>
            <w:r>
              <w:rPr>
                <w:rFonts w:ascii="Arial" w:cs="Arial" w:eastAsia="Arial" w:hAnsi="Arial"/>
                <w:sz w:val="14"/>
                <w:szCs w:val="14"/>
                <w:color w:val="auto"/>
              </w:rPr>
              <w:t>Executive Vice President</w:t>
            </w: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1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100" w:type="dxa"/>
            <w:vAlign w:val="bottom"/>
          </w:tcPr>
          <w:p>
            <w:pPr>
              <w:ind w:left="80"/>
              <w:spacing w:after="0"/>
              <w:rPr>
                <w:sz w:val="20"/>
                <w:szCs w:val="20"/>
                <w:color w:val="auto"/>
              </w:rPr>
            </w:pPr>
            <w:r>
              <w:rPr>
                <w:rFonts w:ascii="Arial" w:cs="Arial" w:eastAsia="Arial" w:hAnsi="Arial"/>
                <w:sz w:val="14"/>
                <w:szCs w:val="14"/>
                <w:color w:val="auto"/>
              </w:rPr>
              <w:t>and Chief Financial Officer</w:t>
            </w:r>
          </w:p>
        </w:tc>
        <w:tc>
          <w:tcPr>
            <w:tcW w:w="580" w:type="dxa"/>
            <w:vAlign w:val="bottom"/>
          </w:tcPr>
          <w:p>
            <w:pPr>
              <w:ind w:left="160"/>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668,100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2,446,635</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796,263</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1,192,500</w:t>
            </w:r>
          </w:p>
        </w:tc>
        <w:tc>
          <w:tcPr>
            <w:tcW w:w="980" w:type="dxa"/>
            <w:vAlign w:val="bottom"/>
          </w:tcPr>
          <w:p>
            <w:pPr>
              <w:spacing w:after="0"/>
              <w:rPr>
                <w:sz w:val="16"/>
                <w:szCs w:val="16"/>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402,592</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5,506,090</w:t>
            </w:r>
          </w:p>
        </w:tc>
        <w:tc>
          <w:tcPr>
            <w:tcW w:w="0" w:type="dxa"/>
            <w:vAlign w:val="bottom"/>
          </w:tcPr>
          <w:p>
            <w:pPr>
              <w:spacing w:after="0"/>
              <w:rPr>
                <w:sz w:val="1"/>
                <w:szCs w:val="1"/>
                <w:color w:val="auto"/>
              </w:rPr>
            </w:pPr>
          </w:p>
        </w:tc>
      </w:tr>
      <w:tr>
        <w:trPr>
          <w:trHeight w:val="52"/>
        </w:trPr>
        <w:tc>
          <w:tcPr>
            <w:tcW w:w="2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Mark L. Reuss</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4,133,385</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1,050,000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250,488</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348,374</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8,182,247</w:t>
            </w:r>
          </w:p>
        </w:tc>
        <w:tc>
          <w:tcPr>
            <w:tcW w:w="0" w:type="dxa"/>
            <w:vAlign w:val="bottom"/>
          </w:tcPr>
          <w:p>
            <w:pPr>
              <w:spacing w:after="0"/>
              <w:rPr>
                <w:sz w:val="1"/>
                <w:szCs w:val="1"/>
                <w:color w:val="auto"/>
              </w:rPr>
            </w:pPr>
          </w:p>
        </w:tc>
      </w:tr>
      <w:tr>
        <w:trPr>
          <w:trHeight w:val="62"/>
        </w:trPr>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President</w:t>
            </w: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1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1,200,000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3,276,007</w:t>
            </w: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color w:val="auto"/>
              </w:rPr>
              <w:t>1,012,504</w:t>
            </w:r>
          </w:p>
        </w:tc>
        <w:tc>
          <w:tcPr>
            <w:tcW w:w="1380" w:type="dxa"/>
            <w:vAlign w:val="bottom"/>
            <w:vMerge w:val="restart"/>
          </w:tcPr>
          <w:p>
            <w:pPr>
              <w:jc w:val="right"/>
              <w:ind w:right="12"/>
              <w:spacing w:after="0"/>
              <w:rPr>
                <w:sz w:val="20"/>
                <w:szCs w:val="20"/>
                <w:color w:val="auto"/>
              </w:rPr>
            </w:pPr>
            <w:r>
              <w:rPr>
                <w:rFonts w:ascii="Arial" w:cs="Arial" w:eastAsia="Arial" w:hAnsi="Arial"/>
                <w:sz w:val="14"/>
                <w:szCs w:val="14"/>
                <w:color w:val="auto"/>
              </w:rPr>
              <w:t>1,590,000</w:t>
            </w:r>
          </w:p>
        </w:tc>
        <w:tc>
          <w:tcPr>
            <w:tcW w:w="980" w:type="dxa"/>
            <w:vAlign w:val="bottom"/>
          </w:tcPr>
          <w:p>
            <w:pPr>
              <w:spacing w:after="0"/>
              <w:rPr>
                <w:sz w:val="7"/>
                <w:szCs w:val="7"/>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277,579</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7,356,090</w:t>
            </w:r>
          </w:p>
        </w:tc>
        <w:tc>
          <w:tcPr>
            <w:tcW w:w="0" w:type="dxa"/>
            <w:vAlign w:val="bottom"/>
          </w:tcPr>
          <w:p>
            <w:pPr>
              <w:spacing w:after="0"/>
              <w:rPr>
                <w:sz w:val="1"/>
                <w:szCs w:val="1"/>
                <w:color w:val="auto"/>
              </w:rPr>
            </w:pPr>
          </w:p>
        </w:tc>
      </w:tr>
      <w:tr>
        <w:trPr>
          <w:trHeight w:val="80"/>
        </w:trPr>
        <w:tc>
          <w:tcPr>
            <w:tcW w:w="2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3,345,168</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1,012,504</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1,770,000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54,390</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344,446</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7,726,508</w:t>
            </w:r>
          </w:p>
        </w:tc>
        <w:tc>
          <w:tcPr>
            <w:tcW w:w="0" w:type="dxa"/>
            <w:vAlign w:val="bottom"/>
          </w:tcPr>
          <w:p>
            <w:pPr>
              <w:spacing w:after="0"/>
              <w:rPr>
                <w:sz w:val="1"/>
                <w:szCs w:val="1"/>
                <w:color w:val="auto"/>
              </w:rPr>
            </w:pPr>
          </w:p>
        </w:tc>
      </w:tr>
      <w:tr>
        <w:trPr>
          <w:trHeight w:val="52"/>
        </w:trPr>
        <w:tc>
          <w:tcPr>
            <w:tcW w:w="2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Barry L. Engle II</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2,747,276</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800,003</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650,000</w:t>
            </w:r>
          </w:p>
        </w:tc>
        <w:tc>
          <w:tcPr>
            <w:tcW w:w="98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149,005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5,146,284</w:t>
            </w:r>
          </w:p>
        </w:tc>
        <w:tc>
          <w:tcPr>
            <w:tcW w:w="0" w:type="dxa"/>
            <w:vAlign w:val="bottom"/>
          </w:tcPr>
          <w:p>
            <w:pPr>
              <w:spacing w:after="0"/>
              <w:rPr>
                <w:sz w:val="1"/>
                <w:szCs w:val="1"/>
                <w:color w:val="auto"/>
              </w:rPr>
            </w:pPr>
          </w:p>
        </w:tc>
      </w:tr>
      <w:tr>
        <w:trPr>
          <w:trHeight w:val="160"/>
        </w:trPr>
        <w:tc>
          <w:tcPr>
            <w:tcW w:w="210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80"/>
              <w:spacing w:after="0"/>
              <w:rPr>
                <w:sz w:val="20"/>
                <w:szCs w:val="20"/>
                <w:color w:val="auto"/>
              </w:rPr>
            </w:pPr>
            <w:r>
              <w:rPr>
                <w:rFonts w:ascii="Arial" w:cs="Arial" w:eastAsia="Arial" w:hAnsi="Arial"/>
                <w:sz w:val="14"/>
                <w:szCs w:val="14"/>
                <w:color w:val="auto"/>
              </w:rPr>
              <w:t>President, North America</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Craig B. Glidden</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775,000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2,072,064</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601,553</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678,200</w:t>
            </w:r>
          </w:p>
        </w:tc>
        <w:tc>
          <w:tcPr>
            <w:tcW w:w="98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156,015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4,282,832</w:t>
            </w:r>
          </w:p>
        </w:tc>
        <w:tc>
          <w:tcPr>
            <w:tcW w:w="0" w:type="dxa"/>
            <w:vAlign w:val="bottom"/>
          </w:tcPr>
          <w:p>
            <w:pPr>
              <w:spacing w:after="0"/>
              <w:rPr>
                <w:sz w:val="1"/>
                <w:szCs w:val="1"/>
                <w:color w:val="auto"/>
              </w:rPr>
            </w:pPr>
          </w:p>
        </w:tc>
      </w:tr>
      <w:tr>
        <w:trPr>
          <w:trHeight w:val="160"/>
        </w:trPr>
        <w:tc>
          <w:tcPr>
            <w:tcW w:w="210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80"/>
              <w:spacing w:after="0"/>
              <w:rPr>
                <w:sz w:val="20"/>
                <w:szCs w:val="20"/>
                <w:color w:val="auto"/>
              </w:rPr>
            </w:pPr>
            <w:r>
              <w:rPr>
                <w:rFonts w:ascii="Arial" w:cs="Arial" w:eastAsia="Arial" w:hAnsi="Arial"/>
                <w:sz w:val="14"/>
                <w:szCs w:val="14"/>
                <w:color w:val="auto"/>
              </w:rPr>
              <w:t>General Counsel</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Alan S. Batey</w:t>
            </w:r>
          </w:p>
        </w:tc>
        <w:tc>
          <w:tcPr>
            <w:tcW w:w="580" w:type="dxa"/>
            <w:vAlign w:val="bottom"/>
          </w:tcPr>
          <w:p>
            <w:pPr>
              <w:ind w:left="160"/>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1,025,000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2,319,594</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673,425</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730,300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353,583</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216,131</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5,318,033</w:t>
            </w:r>
          </w:p>
        </w:tc>
        <w:tc>
          <w:tcPr>
            <w:tcW w:w="0" w:type="dxa"/>
            <w:vAlign w:val="bottom"/>
          </w:tcPr>
          <w:p>
            <w:pPr>
              <w:spacing w:after="0"/>
              <w:rPr>
                <w:sz w:val="1"/>
                <w:szCs w:val="1"/>
                <w:color w:val="auto"/>
              </w:rPr>
            </w:pPr>
          </w:p>
        </w:tc>
      </w:tr>
      <w:tr>
        <w:trPr>
          <w:trHeight w:val="62"/>
        </w:trPr>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Advisor and Former</w:t>
            </w: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100" w:type="dxa"/>
            <w:vAlign w:val="bottom"/>
            <w:vMerge w:val="continue"/>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rPr>
              <w:t>2018</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1,025,000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2,178,894</w:t>
            </w: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color w:val="auto"/>
              </w:rPr>
              <w:t>673,429</w:t>
            </w:r>
          </w:p>
        </w:tc>
        <w:tc>
          <w:tcPr>
            <w:tcW w:w="1380" w:type="dxa"/>
            <w:vAlign w:val="bottom"/>
            <w:vMerge w:val="restart"/>
          </w:tcPr>
          <w:p>
            <w:pPr>
              <w:jc w:val="right"/>
              <w:ind w:right="12"/>
              <w:spacing w:after="0"/>
              <w:rPr>
                <w:sz w:val="20"/>
                <w:szCs w:val="20"/>
                <w:color w:val="auto"/>
              </w:rPr>
            </w:pPr>
            <w:r>
              <w:rPr>
                <w:rFonts w:ascii="Arial" w:cs="Arial" w:eastAsia="Arial" w:hAnsi="Arial"/>
                <w:sz w:val="14"/>
                <w:szCs w:val="14"/>
                <w:color w:val="auto"/>
              </w:rPr>
              <w:t>1,230,000</w:t>
            </w:r>
          </w:p>
        </w:tc>
        <w:tc>
          <w:tcPr>
            <w:tcW w:w="980" w:type="dxa"/>
            <w:vAlign w:val="bottom"/>
          </w:tcPr>
          <w:p>
            <w:pPr>
              <w:spacing w:after="0"/>
              <w:rPr>
                <w:sz w:val="6"/>
                <w:szCs w:val="6"/>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4"/>
                <w:szCs w:val="14"/>
                <w:color w:val="auto"/>
                <w:w w:val="99"/>
              </w:rPr>
              <w:t>—</w:t>
            </w:r>
          </w:p>
        </w:tc>
        <w:tc>
          <w:tcPr>
            <w:tcW w:w="1400" w:type="dxa"/>
            <w:vAlign w:val="bottom"/>
            <w:gridSpan w:val="2"/>
            <w:vMerge w:val="restart"/>
          </w:tcPr>
          <w:p>
            <w:pPr>
              <w:jc w:val="right"/>
              <w:ind w:right="36"/>
              <w:spacing w:after="0"/>
              <w:rPr>
                <w:sz w:val="20"/>
                <w:szCs w:val="20"/>
                <w:color w:val="auto"/>
              </w:rPr>
            </w:pPr>
            <w:r>
              <w:rPr>
                <w:rFonts w:ascii="Arial" w:cs="Arial" w:eastAsia="Arial" w:hAnsi="Arial"/>
                <w:sz w:val="14"/>
                <w:szCs w:val="14"/>
                <w:color w:val="auto"/>
              </w:rPr>
              <w:t>233,197</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5,340,520</w:t>
            </w:r>
          </w:p>
        </w:tc>
        <w:tc>
          <w:tcPr>
            <w:tcW w:w="0" w:type="dxa"/>
            <w:vAlign w:val="bottom"/>
          </w:tcPr>
          <w:p>
            <w:pPr>
              <w:spacing w:after="0"/>
              <w:rPr>
                <w:sz w:val="1"/>
                <w:szCs w:val="1"/>
                <w:color w:val="auto"/>
              </w:rPr>
            </w:pPr>
          </w:p>
        </w:tc>
      </w:tr>
      <w:tr>
        <w:trPr>
          <w:trHeight w:val="91"/>
        </w:trPr>
        <w:tc>
          <w:tcPr>
            <w:tcW w:w="2100" w:type="dxa"/>
            <w:vAlign w:val="bottom"/>
            <w:vMerge w:val="restart"/>
          </w:tcPr>
          <w:p>
            <w:pPr>
              <w:ind w:left="80"/>
              <w:spacing w:after="0" w:line="143" w:lineRule="exact"/>
              <w:rPr>
                <w:sz w:val="20"/>
                <w:szCs w:val="20"/>
                <w:color w:val="auto"/>
              </w:rPr>
            </w:pPr>
            <w:r>
              <w:rPr>
                <w:rFonts w:ascii="Arial" w:cs="Arial" w:eastAsia="Arial" w:hAnsi="Arial"/>
                <w:sz w:val="14"/>
                <w:szCs w:val="14"/>
                <w:color w:val="auto"/>
              </w:rPr>
              <w:t>Executive Vice President</w:t>
            </w:r>
          </w:p>
        </w:tc>
        <w:tc>
          <w:tcPr>
            <w:tcW w:w="5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100" w:type="dxa"/>
            <w:vAlign w:val="bottom"/>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00" w:type="dxa"/>
            <w:vAlign w:val="bottom"/>
          </w:tcPr>
          <w:p>
            <w:pPr>
              <w:ind w:left="80"/>
              <w:spacing w:after="0"/>
              <w:rPr>
                <w:sz w:val="20"/>
                <w:szCs w:val="20"/>
                <w:color w:val="auto"/>
              </w:rPr>
            </w:pPr>
            <w:r>
              <w:rPr>
                <w:rFonts w:ascii="Arial" w:cs="Arial" w:eastAsia="Arial" w:hAnsi="Arial"/>
                <w:sz w:val="14"/>
                <w:szCs w:val="14"/>
                <w:color w:val="auto"/>
              </w:rPr>
              <w:t>and President, North America</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1,025,000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6"/>
              <w:spacing w:after="0"/>
              <w:rPr>
                <w:sz w:val="20"/>
                <w:szCs w:val="20"/>
                <w:color w:val="auto"/>
              </w:rPr>
            </w:pPr>
            <w:r>
              <w:rPr>
                <w:rFonts w:ascii="Arial" w:cs="Arial" w:eastAsia="Arial" w:hAnsi="Arial"/>
                <w:sz w:val="14"/>
                <w:szCs w:val="14"/>
                <w:color w:val="auto"/>
              </w:rPr>
              <w:t>2,224,928</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673,426</w:t>
            </w:r>
          </w:p>
        </w:tc>
        <w:tc>
          <w:tcPr>
            <w:tcW w:w="1380" w:type="dxa"/>
            <w:vAlign w:val="bottom"/>
          </w:tcPr>
          <w:p>
            <w:pPr>
              <w:jc w:val="right"/>
              <w:ind w:right="12"/>
              <w:spacing w:after="0"/>
              <w:rPr>
                <w:sz w:val="20"/>
                <w:szCs w:val="20"/>
                <w:color w:val="auto"/>
              </w:rPr>
            </w:pPr>
            <w:r>
              <w:rPr>
                <w:rFonts w:ascii="Arial" w:cs="Arial" w:eastAsia="Arial" w:hAnsi="Arial"/>
                <w:sz w:val="14"/>
                <w:szCs w:val="14"/>
                <w:color w:val="auto"/>
              </w:rPr>
              <w:t>1,447,800</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color w:val="auto"/>
              </w:rPr>
              <w:t>316,601</w:t>
            </w:r>
          </w:p>
        </w:tc>
        <w:tc>
          <w:tcPr>
            <w:tcW w:w="1400" w:type="dxa"/>
            <w:vAlign w:val="bottom"/>
            <w:gridSpan w:val="2"/>
          </w:tcPr>
          <w:p>
            <w:pPr>
              <w:jc w:val="right"/>
              <w:ind w:right="36"/>
              <w:spacing w:after="0"/>
              <w:rPr>
                <w:sz w:val="20"/>
                <w:szCs w:val="20"/>
                <w:color w:val="auto"/>
              </w:rPr>
            </w:pPr>
            <w:r>
              <w:rPr>
                <w:rFonts w:ascii="Arial" w:cs="Arial" w:eastAsia="Arial" w:hAnsi="Arial"/>
                <w:sz w:val="14"/>
                <w:szCs w:val="14"/>
                <w:color w:val="auto"/>
              </w:rPr>
              <w:t>287,373</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5,975,128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33020</wp:posOffset>
            </wp:positionV>
            <wp:extent cx="69297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6" w:lineRule="exact"/>
        <w:rPr>
          <w:sz w:val="20"/>
          <w:szCs w:val="20"/>
          <w:color w:val="auto"/>
        </w:rPr>
      </w:pPr>
    </w:p>
    <w:p>
      <w:pPr>
        <w:ind w:left="600" w:hanging="433"/>
        <w:spacing w:after="0" w:line="260" w:lineRule="auto"/>
        <w:tabs>
          <w:tab w:leader="none" w:pos="60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Titles reflect position as of December 31, 2019. Mr. Engle and Mr. Glidden were not NEOs in 2017 or 2018. Mr. Batey became an Advisor on April 1, 2019, and retired on March 1, 2020.</w:t>
      </w:r>
    </w:p>
    <w:p>
      <w:pPr>
        <w:spacing w:after="0" w:line="32" w:lineRule="exact"/>
        <w:rPr>
          <w:rFonts w:ascii="Arial" w:cs="Arial" w:eastAsia="Arial" w:hAnsi="Arial"/>
          <w:sz w:val="18"/>
          <w:szCs w:val="18"/>
          <w:i w:val="1"/>
          <w:iCs w:val="1"/>
          <w:color w:val="auto"/>
        </w:rPr>
      </w:pPr>
    </w:p>
    <w:p>
      <w:pPr>
        <w:jc w:val="both"/>
        <w:ind w:left="600" w:hanging="433"/>
        <w:spacing w:after="0" w:line="260" w:lineRule="auto"/>
        <w:tabs>
          <w:tab w:leader="none" w:pos="600" w:val="left"/>
        </w:tabs>
        <w:numPr>
          <w:ilvl w:val="0"/>
          <w:numId w:val="103"/>
        </w:numPr>
        <w:rPr>
          <w:rFonts w:ascii="Arial" w:cs="Arial" w:eastAsia="Arial" w:hAnsi="Arial"/>
          <w:sz w:val="17"/>
          <w:szCs w:val="17"/>
          <w:i w:val="1"/>
          <w:iCs w:val="1"/>
          <w:color w:val="auto"/>
        </w:rPr>
      </w:pPr>
      <w:r>
        <w:rPr>
          <w:rFonts w:ascii="Arial" w:cs="Arial" w:eastAsia="Arial" w:hAnsi="Arial"/>
          <w:sz w:val="17"/>
          <w:szCs w:val="17"/>
          <w:i w:val="1"/>
          <w:iCs w:val="1"/>
          <w:color w:val="auto"/>
        </w:rPr>
        <w:t>Stock Awards displays the grant date fair value of PSUs issued under the LTIP, computed in accordance with Financial Accounting Standards Board (“FASB”) Accounting Standards Codification (“ASC”) Topic 718. PSUs will vest based on GM’s performance against Relative ROIC-adjusted and Relative TSR. The maximum award for PSUs for the 2019–2021 performance period is 200% of PSUs granted. The assumptions used for the Monte Carlo valuation of the Relative TSR portion of the PSUs are summarized below:</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65"/>
        </w:trPr>
        <w:tc>
          <w:tcPr>
            <w:tcW w:w="2240" w:type="dxa"/>
            <w:vAlign w:val="bottom"/>
            <w:tcBorders>
              <w:right w:val="single" w:sz="8" w:color="0033A0"/>
            </w:tcBorders>
          </w:tcPr>
          <w:p>
            <w:pPr>
              <w:spacing w:after="0"/>
              <w:rPr>
                <w:sz w:val="14"/>
                <w:szCs w:val="14"/>
                <w:color w:val="auto"/>
              </w:rPr>
            </w:pPr>
          </w:p>
        </w:tc>
        <w:tc>
          <w:tcPr>
            <w:tcW w:w="1680" w:type="dxa"/>
            <w:vAlign w:val="bottom"/>
            <w:tcBorders>
              <w:right w:val="single" w:sz="8" w:color="0033A0"/>
            </w:tcBorders>
          </w:tcPr>
          <w:p>
            <w:pPr>
              <w:spacing w:after="0"/>
              <w:rPr>
                <w:sz w:val="14"/>
                <w:szCs w:val="14"/>
                <w:color w:val="auto"/>
              </w:rPr>
            </w:pPr>
          </w:p>
        </w:tc>
        <w:tc>
          <w:tcPr>
            <w:tcW w:w="1700" w:type="dxa"/>
            <w:vAlign w:val="bottom"/>
            <w:tcBorders>
              <w:right w:val="single" w:sz="8" w:color="0033A0"/>
            </w:tcBorders>
          </w:tcPr>
          <w:p>
            <w:pPr>
              <w:spacing w:after="0"/>
              <w:rPr>
                <w:sz w:val="14"/>
                <w:szCs w:val="14"/>
                <w:color w:val="auto"/>
              </w:rPr>
            </w:pPr>
          </w:p>
        </w:tc>
        <w:tc>
          <w:tcPr>
            <w:tcW w:w="170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Risk-Free</w:t>
            </w:r>
          </w:p>
        </w:tc>
        <w:tc>
          <w:tcPr>
            <w:tcW w:w="1680" w:type="dxa"/>
            <w:vAlign w:val="bottom"/>
            <w:tcBorders>
              <w:right w:val="single" w:sz="8" w:color="0033A0"/>
            </w:tcBorders>
          </w:tcPr>
          <w:p>
            <w:pPr>
              <w:spacing w:after="0"/>
              <w:rPr>
                <w:sz w:val="14"/>
                <w:szCs w:val="14"/>
                <w:color w:val="auto"/>
              </w:rPr>
            </w:pPr>
          </w:p>
        </w:tc>
        <w:tc>
          <w:tcPr>
            <w:tcW w:w="1580" w:type="dxa"/>
            <w:vAlign w:val="bottom"/>
          </w:tcPr>
          <w:p>
            <w:pPr>
              <w:jc w:val="center"/>
              <w:ind w:left="49"/>
              <w:spacing w:after="0"/>
              <w:rPr>
                <w:sz w:val="20"/>
                <w:szCs w:val="20"/>
                <w:color w:val="auto"/>
              </w:rPr>
            </w:pPr>
            <w:r>
              <w:rPr>
                <w:rFonts w:ascii="Arial" w:cs="Arial" w:eastAsia="Arial" w:hAnsi="Arial"/>
                <w:sz w:val="14"/>
                <w:szCs w:val="14"/>
                <w:i w:val="1"/>
                <w:iCs w:val="1"/>
                <w:color w:val="auto"/>
              </w:rPr>
              <w:t>Valuation Price as a</w:t>
            </w:r>
          </w:p>
        </w:tc>
      </w:tr>
      <w:tr>
        <w:trPr>
          <w:trHeight w:val="198"/>
        </w:trPr>
        <w:tc>
          <w:tcPr>
            <w:tcW w:w="2240" w:type="dxa"/>
            <w:vAlign w:val="bottom"/>
            <w:tcBorders>
              <w:right w:val="single" w:sz="8" w:color="0033A0"/>
            </w:tcBorders>
          </w:tcPr>
          <w:p>
            <w:pPr>
              <w:ind w:left="760"/>
              <w:spacing w:after="0"/>
              <w:rPr>
                <w:sz w:val="20"/>
                <w:szCs w:val="20"/>
                <w:color w:val="auto"/>
              </w:rPr>
            </w:pPr>
            <w:r>
              <w:rPr>
                <w:rFonts w:ascii="Arial" w:cs="Arial" w:eastAsia="Arial" w:hAnsi="Arial"/>
                <w:sz w:val="14"/>
                <w:szCs w:val="14"/>
                <w:i w:val="1"/>
                <w:iCs w:val="1"/>
                <w:color w:val="auto"/>
              </w:rPr>
              <w:t>Grant Date</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Stock Price</w:t>
            </w:r>
          </w:p>
        </w:tc>
        <w:tc>
          <w:tcPr>
            <w:tcW w:w="170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Implied Volatility</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w w:val="99"/>
              </w:rPr>
              <w:t>Interest Rate</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Valuation Price</w:t>
            </w:r>
          </w:p>
        </w:tc>
        <w:tc>
          <w:tcPr>
            <w:tcW w:w="1580" w:type="dxa"/>
            <w:vAlign w:val="bottom"/>
          </w:tcPr>
          <w:p>
            <w:pPr>
              <w:jc w:val="center"/>
              <w:ind w:left="29"/>
              <w:spacing w:after="0"/>
              <w:rPr>
                <w:sz w:val="20"/>
                <w:szCs w:val="20"/>
                <w:color w:val="auto"/>
              </w:rPr>
            </w:pPr>
            <w:r>
              <w:rPr>
                <w:rFonts w:ascii="Arial" w:cs="Arial" w:eastAsia="Arial" w:hAnsi="Arial"/>
                <w:sz w:val="14"/>
                <w:szCs w:val="14"/>
                <w:i w:val="1"/>
                <w:iCs w:val="1"/>
                <w:color w:val="auto"/>
                <w:w w:val="99"/>
              </w:rPr>
              <w:t>Percent of Target</w:t>
            </w:r>
          </w:p>
        </w:tc>
      </w:tr>
      <w:tr>
        <w:trPr>
          <w:trHeight w:val="65"/>
        </w:trPr>
        <w:tc>
          <w:tcPr>
            <w:tcW w:w="2240" w:type="dxa"/>
            <w:vAlign w:val="bottom"/>
            <w:tcBorders>
              <w:bottom w:val="single" w:sz="8" w:color="0033A0"/>
              <w:right w:val="single" w:sz="8" w:color="0033A0"/>
            </w:tcBorders>
          </w:tcPr>
          <w:p>
            <w:pPr>
              <w:spacing w:after="0"/>
              <w:rPr>
                <w:sz w:val="5"/>
                <w:szCs w:val="5"/>
                <w:color w:val="auto"/>
              </w:rPr>
            </w:pPr>
          </w:p>
        </w:tc>
        <w:tc>
          <w:tcPr>
            <w:tcW w:w="1680" w:type="dxa"/>
            <w:vAlign w:val="bottom"/>
            <w:tcBorders>
              <w:bottom w:val="single" w:sz="8" w:color="0033A0"/>
              <w:right w:val="single" w:sz="8" w:color="0033A0"/>
            </w:tcBorders>
          </w:tcPr>
          <w:p>
            <w:pPr>
              <w:spacing w:after="0"/>
              <w:rPr>
                <w:sz w:val="5"/>
                <w:szCs w:val="5"/>
                <w:color w:val="auto"/>
              </w:rPr>
            </w:pPr>
          </w:p>
        </w:tc>
        <w:tc>
          <w:tcPr>
            <w:tcW w:w="1700" w:type="dxa"/>
            <w:vAlign w:val="bottom"/>
            <w:tcBorders>
              <w:bottom w:val="single" w:sz="8" w:color="0033A0"/>
              <w:right w:val="single" w:sz="8" w:color="0033A0"/>
            </w:tcBorders>
          </w:tcPr>
          <w:p>
            <w:pPr>
              <w:spacing w:after="0"/>
              <w:rPr>
                <w:sz w:val="5"/>
                <w:szCs w:val="5"/>
                <w:color w:val="auto"/>
              </w:rPr>
            </w:pPr>
          </w:p>
        </w:tc>
        <w:tc>
          <w:tcPr>
            <w:tcW w:w="1700" w:type="dxa"/>
            <w:vAlign w:val="bottom"/>
            <w:tcBorders>
              <w:bottom w:val="single" w:sz="8" w:color="0033A0"/>
              <w:right w:val="single" w:sz="8" w:color="0033A0"/>
            </w:tcBorders>
          </w:tcPr>
          <w:p>
            <w:pPr>
              <w:spacing w:after="0"/>
              <w:rPr>
                <w:sz w:val="5"/>
                <w:szCs w:val="5"/>
                <w:color w:val="auto"/>
              </w:rPr>
            </w:pPr>
          </w:p>
        </w:tc>
        <w:tc>
          <w:tcPr>
            <w:tcW w:w="1680" w:type="dxa"/>
            <w:vAlign w:val="bottom"/>
            <w:tcBorders>
              <w:bottom w:val="single" w:sz="8" w:color="0033A0"/>
              <w:right w:val="single" w:sz="8" w:color="0033A0"/>
            </w:tcBorders>
          </w:tcPr>
          <w:p>
            <w:pPr>
              <w:spacing w:after="0"/>
              <w:rPr>
                <w:sz w:val="5"/>
                <w:szCs w:val="5"/>
                <w:color w:val="auto"/>
              </w:rPr>
            </w:pPr>
          </w:p>
        </w:tc>
        <w:tc>
          <w:tcPr>
            <w:tcW w:w="1580" w:type="dxa"/>
            <w:vAlign w:val="bottom"/>
            <w:tcBorders>
              <w:bottom w:val="single" w:sz="8" w:color="0033A0"/>
            </w:tcBorders>
          </w:tcPr>
          <w:p>
            <w:pPr>
              <w:spacing w:after="0"/>
              <w:rPr>
                <w:sz w:val="5"/>
                <w:szCs w:val="5"/>
                <w:color w:val="auto"/>
              </w:rPr>
            </w:pPr>
          </w:p>
        </w:tc>
      </w:tr>
      <w:tr>
        <w:trPr>
          <w:trHeight w:val="236"/>
        </w:trPr>
        <w:tc>
          <w:tcPr>
            <w:tcW w:w="2240" w:type="dxa"/>
            <w:vAlign w:val="bottom"/>
            <w:tcBorders>
              <w:right w:val="single" w:sz="8" w:color="0033A0"/>
            </w:tcBorders>
          </w:tcPr>
          <w:p>
            <w:pPr>
              <w:jc w:val="right"/>
              <w:ind w:right="749"/>
              <w:spacing w:after="0"/>
              <w:rPr>
                <w:sz w:val="20"/>
                <w:szCs w:val="20"/>
                <w:color w:val="auto"/>
              </w:rPr>
            </w:pPr>
            <w:r>
              <w:rPr>
                <w:rFonts w:ascii="Arial" w:cs="Arial" w:eastAsia="Arial" w:hAnsi="Arial"/>
                <w:sz w:val="14"/>
                <w:szCs w:val="14"/>
                <w:i w:val="1"/>
                <w:iCs w:val="1"/>
                <w:color w:val="auto"/>
              </w:rPr>
              <w:t>2/13/2019</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$39.00</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w w:val="99"/>
              </w:rPr>
              <w:t>28%</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2.57%</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$56.51</w:t>
            </w:r>
          </w:p>
        </w:tc>
        <w:tc>
          <w:tcPr>
            <w:tcW w:w="1580" w:type="dxa"/>
            <w:vAlign w:val="bottom"/>
          </w:tcPr>
          <w:p>
            <w:pPr>
              <w:jc w:val="center"/>
              <w:ind w:left="29"/>
              <w:spacing w:after="0"/>
              <w:rPr>
                <w:sz w:val="20"/>
                <w:szCs w:val="20"/>
                <w:color w:val="auto"/>
              </w:rPr>
            </w:pPr>
            <w:r>
              <w:rPr>
                <w:rFonts w:ascii="Arial" w:cs="Arial" w:eastAsia="Arial" w:hAnsi="Arial"/>
                <w:sz w:val="14"/>
                <w:szCs w:val="14"/>
                <w:i w:val="1"/>
                <w:iCs w:val="1"/>
                <w:color w:val="auto"/>
              </w:rPr>
              <w:t>144.9%</w:t>
            </w:r>
          </w:p>
        </w:tc>
      </w:tr>
      <w:tr>
        <w:trPr>
          <w:trHeight w:val="321"/>
        </w:trPr>
        <w:tc>
          <w:tcPr>
            <w:tcW w:w="2240" w:type="dxa"/>
            <w:vAlign w:val="bottom"/>
            <w:tcBorders>
              <w:right w:val="single" w:sz="8" w:color="0033A0"/>
            </w:tcBorders>
          </w:tcPr>
          <w:p>
            <w:pPr>
              <w:jc w:val="right"/>
              <w:ind w:right="789"/>
              <w:spacing w:after="0"/>
              <w:rPr>
                <w:sz w:val="20"/>
                <w:szCs w:val="20"/>
                <w:color w:val="auto"/>
              </w:rPr>
            </w:pPr>
            <w:r>
              <w:rPr>
                <w:rFonts w:ascii="Arial" w:cs="Arial" w:eastAsia="Arial" w:hAnsi="Arial"/>
                <w:sz w:val="14"/>
                <w:szCs w:val="14"/>
                <w:i w:val="1"/>
                <w:iCs w:val="1"/>
                <w:color w:val="auto"/>
              </w:rPr>
              <w:t>4/1/2019</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$37.76</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w w:val="99"/>
              </w:rPr>
              <w:t>26%</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2.36%</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$53.13</w:t>
            </w:r>
          </w:p>
        </w:tc>
        <w:tc>
          <w:tcPr>
            <w:tcW w:w="1580" w:type="dxa"/>
            <w:vAlign w:val="bottom"/>
          </w:tcPr>
          <w:p>
            <w:pPr>
              <w:jc w:val="center"/>
              <w:ind w:left="29"/>
              <w:spacing w:after="0"/>
              <w:rPr>
                <w:sz w:val="20"/>
                <w:szCs w:val="20"/>
                <w:color w:val="auto"/>
              </w:rPr>
            </w:pPr>
            <w:r>
              <w:rPr>
                <w:rFonts w:ascii="Arial" w:cs="Arial" w:eastAsia="Arial" w:hAnsi="Arial"/>
                <w:sz w:val="14"/>
                <w:szCs w:val="14"/>
                <w:i w:val="1"/>
                <w:iCs w:val="1"/>
                <w:color w:val="auto"/>
              </w:rPr>
              <w:t>140.7%</w:t>
            </w:r>
          </w:p>
        </w:tc>
      </w:tr>
      <w:tr>
        <w:trPr>
          <w:trHeight w:val="65"/>
        </w:trPr>
        <w:tc>
          <w:tcPr>
            <w:tcW w:w="2240" w:type="dxa"/>
            <w:vAlign w:val="bottom"/>
            <w:tcBorders>
              <w:right w:val="single" w:sz="8" w:color="0033A0"/>
            </w:tcBorders>
          </w:tcPr>
          <w:p>
            <w:pPr>
              <w:spacing w:after="0"/>
              <w:rPr>
                <w:sz w:val="5"/>
                <w:szCs w:val="5"/>
                <w:color w:val="auto"/>
              </w:rPr>
            </w:pPr>
          </w:p>
        </w:tc>
        <w:tc>
          <w:tcPr>
            <w:tcW w:w="1680" w:type="dxa"/>
            <w:vAlign w:val="bottom"/>
            <w:tcBorders>
              <w:right w:val="single" w:sz="8" w:color="0033A0"/>
            </w:tcBorders>
          </w:tcPr>
          <w:p>
            <w:pPr>
              <w:spacing w:after="0"/>
              <w:rPr>
                <w:sz w:val="5"/>
                <w:szCs w:val="5"/>
                <w:color w:val="auto"/>
              </w:rPr>
            </w:pPr>
          </w:p>
        </w:tc>
        <w:tc>
          <w:tcPr>
            <w:tcW w:w="1700" w:type="dxa"/>
            <w:vAlign w:val="bottom"/>
            <w:tcBorders>
              <w:right w:val="single" w:sz="8" w:color="0033A0"/>
            </w:tcBorders>
          </w:tcPr>
          <w:p>
            <w:pPr>
              <w:spacing w:after="0"/>
              <w:rPr>
                <w:sz w:val="5"/>
                <w:szCs w:val="5"/>
                <w:color w:val="auto"/>
              </w:rPr>
            </w:pPr>
          </w:p>
        </w:tc>
        <w:tc>
          <w:tcPr>
            <w:tcW w:w="1700" w:type="dxa"/>
            <w:vAlign w:val="bottom"/>
            <w:tcBorders>
              <w:right w:val="single" w:sz="8" w:color="0033A0"/>
            </w:tcBorders>
          </w:tcPr>
          <w:p>
            <w:pPr>
              <w:spacing w:after="0"/>
              <w:rPr>
                <w:sz w:val="5"/>
                <w:szCs w:val="5"/>
                <w:color w:val="auto"/>
              </w:rPr>
            </w:pPr>
          </w:p>
        </w:tc>
        <w:tc>
          <w:tcPr>
            <w:tcW w:w="1680" w:type="dxa"/>
            <w:vAlign w:val="bottom"/>
            <w:tcBorders>
              <w:right w:val="single" w:sz="8" w:color="0033A0"/>
            </w:tcBorders>
          </w:tcPr>
          <w:p>
            <w:pPr>
              <w:spacing w:after="0"/>
              <w:rPr>
                <w:sz w:val="5"/>
                <w:szCs w:val="5"/>
                <w:color w:val="auto"/>
              </w:rPr>
            </w:pPr>
          </w:p>
        </w:tc>
        <w:tc>
          <w:tcPr>
            <w:tcW w:w="1580" w:type="dxa"/>
            <w:vAlign w:val="bottom"/>
          </w:tcPr>
          <w:p>
            <w:pPr>
              <w:spacing w:after="0"/>
              <w:rPr>
                <w:sz w:val="5"/>
                <w:szCs w:val="5"/>
                <w:color w:val="auto"/>
              </w:rPr>
            </w:pPr>
          </w:p>
        </w:tc>
      </w:tr>
    </w:tbl>
    <w:p>
      <w:pPr>
        <w:spacing w:after="0" w:line="61" w:lineRule="exact"/>
        <w:rPr>
          <w:sz w:val="20"/>
          <w:szCs w:val="20"/>
          <w:color w:val="auto"/>
        </w:rPr>
      </w:pPr>
    </w:p>
    <w:p>
      <w:pPr>
        <w:jc w:val="both"/>
        <w:ind w:left="600"/>
        <w:spacing w:after="0" w:line="260" w:lineRule="auto"/>
        <w:rPr>
          <w:sz w:val="20"/>
          <w:szCs w:val="20"/>
          <w:color w:val="auto"/>
        </w:rPr>
      </w:pPr>
      <w:r>
        <w:rPr>
          <w:rFonts w:ascii="Arial" w:cs="Arial" w:eastAsia="Arial" w:hAnsi="Arial"/>
          <w:sz w:val="18"/>
          <w:szCs w:val="18"/>
          <w:i w:val="1"/>
          <w:iCs w:val="1"/>
          <w:color w:val="auto"/>
        </w:rPr>
        <w:t>There is no dividend yield as dividends are assumed to be reinvested for the TSR calculation. The table below shows the PSUs valued based on the closing stock price on the date of grant and the maximum grant value based on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75565</wp:posOffset>
            </wp:positionV>
            <wp:extent cx="6793865" cy="1016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62</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80" w:type="dxa"/>
            <w:vAlign w:val="bottom"/>
            <w:tcBorders>
              <w:bottom w:val="single" w:sz="8" w:color="00A1DF"/>
            </w:tcBorders>
          </w:tcPr>
          <w:p>
            <w:pPr>
              <w:spacing w:after="0"/>
              <w:rPr>
                <w:sz w:val="15"/>
                <w:szCs w:val="15"/>
                <w:color w:val="auto"/>
              </w:rPr>
            </w:pPr>
          </w:p>
        </w:tc>
        <w:tc>
          <w:tcPr>
            <w:tcW w:w="2260" w:type="dxa"/>
            <w:vAlign w:val="bottom"/>
            <w:tcBorders>
              <w:bottom w:val="single" w:sz="8" w:color="00A1DF"/>
            </w:tcBorders>
          </w:tcPr>
          <w:p>
            <w:pPr>
              <w:spacing w:after="0"/>
              <w:rPr>
                <w:sz w:val="15"/>
                <w:szCs w:val="15"/>
                <w:color w:val="auto"/>
              </w:rPr>
            </w:pPr>
          </w:p>
        </w:tc>
        <w:tc>
          <w:tcPr>
            <w:tcW w:w="6360" w:type="dxa"/>
            <w:vAlign w:val="bottom"/>
            <w:tcBorders>
              <w:bottom w:val="single" w:sz="8" w:color="00A1DF"/>
            </w:tcBorders>
          </w:tcPr>
          <w:p>
            <w:pPr>
              <w:spacing w:after="0"/>
              <w:rPr>
                <w:sz w:val="15"/>
                <w:szCs w:val="15"/>
                <w:color w:val="auto"/>
              </w:rPr>
            </w:pPr>
          </w:p>
        </w:tc>
        <w:tc>
          <w:tcPr>
            <w:tcW w:w="2120" w:type="dxa"/>
            <w:vAlign w:val="bottom"/>
            <w:tcBorders>
              <w:bottom w:val="single" w:sz="8" w:color="00A1DF"/>
            </w:tcBorders>
            <w:gridSpan w:val="2"/>
          </w:tcPr>
          <w:p>
            <w:pPr>
              <w:ind w:left="120"/>
              <w:spacing w:after="0"/>
              <w:rPr>
                <w:sz w:val="20"/>
                <w:szCs w:val="20"/>
                <w:color w:val="auto"/>
              </w:rPr>
            </w:pPr>
            <w:r>
              <w:rPr>
                <w:rFonts w:ascii="Arial" w:cs="Arial" w:eastAsia="Arial" w:hAnsi="Arial"/>
                <w:sz w:val="14"/>
                <w:szCs w:val="14"/>
                <w:b w:val="1"/>
                <w:bCs w:val="1"/>
                <w:color w:val="0033A0"/>
              </w:rPr>
              <w:t>EXECUTIVE COMPENSATION</w:t>
            </w:r>
          </w:p>
        </w:tc>
      </w:tr>
      <w:tr>
        <w:trPr>
          <w:trHeight w:val="181"/>
        </w:trPr>
        <w:tc>
          <w:tcPr>
            <w:tcW w:w="180" w:type="dxa"/>
            <w:vAlign w:val="bottom"/>
          </w:tcPr>
          <w:p>
            <w:pPr>
              <w:spacing w:after="0"/>
              <w:rPr>
                <w:sz w:val="15"/>
                <w:szCs w:val="15"/>
                <w:color w:val="auto"/>
              </w:rPr>
            </w:pPr>
          </w:p>
        </w:tc>
        <w:tc>
          <w:tcPr>
            <w:tcW w:w="2260" w:type="dxa"/>
            <w:vAlign w:val="bottom"/>
            <w:tcBorders>
              <w:bottom w:val="single" w:sz="8" w:color="00A1DF"/>
            </w:tcBorders>
          </w:tcPr>
          <w:p>
            <w:pPr>
              <w:spacing w:after="0"/>
              <w:rPr>
                <w:sz w:val="15"/>
                <w:szCs w:val="15"/>
                <w:color w:val="auto"/>
              </w:rPr>
            </w:pPr>
          </w:p>
        </w:tc>
        <w:tc>
          <w:tcPr>
            <w:tcW w:w="6360" w:type="dxa"/>
            <w:vAlign w:val="bottom"/>
            <w:tcBorders>
              <w:bottom w:val="single" w:sz="8" w:color="00A1DF"/>
            </w:tcBorders>
          </w:tcPr>
          <w:p>
            <w:pPr>
              <w:spacing w:after="0"/>
              <w:rPr>
                <w:sz w:val="15"/>
                <w:szCs w:val="15"/>
                <w:color w:val="auto"/>
              </w:rPr>
            </w:pPr>
          </w:p>
        </w:tc>
        <w:tc>
          <w:tcPr>
            <w:tcW w:w="1960" w:type="dxa"/>
            <w:vAlign w:val="bottom"/>
            <w:tcBorders>
              <w:bottom w:val="single" w:sz="8" w:color="00A1DF"/>
            </w:tcBorders>
          </w:tcPr>
          <w:p>
            <w:pPr>
              <w:spacing w:after="0"/>
              <w:rPr>
                <w:sz w:val="15"/>
                <w:szCs w:val="15"/>
                <w:color w:val="auto"/>
              </w:rPr>
            </w:pPr>
          </w:p>
        </w:tc>
        <w:tc>
          <w:tcPr>
            <w:tcW w:w="160" w:type="dxa"/>
            <w:vAlign w:val="bottom"/>
          </w:tcPr>
          <w:p>
            <w:pPr>
              <w:spacing w:after="0"/>
              <w:rPr>
                <w:sz w:val="15"/>
                <w:szCs w:val="15"/>
                <w:color w:val="auto"/>
              </w:rPr>
            </w:pPr>
          </w:p>
        </w:tc>
      </w:tr>
      <w:tr>
        <w:trPr>
          <w:trHeight w:val="207"/>
        </w:trPr>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360" w:type="dxa"/>
            <w:vAlign w:val="bottom"/>
          </w:tcPr>
          <w:p>
            <w:pPr>
              <w:jc w:val="right"/>
              <w:ind w:right="1060"/>
              <w:spacing w:after="0"/>
              <w:rPr>
                <w:sz w:val="20"/>
                <w:szCs w:val="20"/>
                <w:color w:val="auto"/>
              </w:rPr>
            </w:pPr>
            <w:r>
              <w:rPr>
                <w:rFonts w:ascii="Arial" w:cs="Arial" w:eastAsia="Arial" w:hAnsi="Arial"/>
                <w:sz w:val="16"/>
                <w:szCs w:val="16"/>
                <w:b w:val="1"/>
                <w:bCs w:val="1"/>
                <w:color w:val="00A1DF"/>
              </w:rPr>
              <w:t>Value of PSU Awards at Target and Maximum Performance</w:t>
            </w: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360" w:type="dxa"/>
            <w:vAlign w:val="bottom"/>
          </w:tcPr>
          <w:p>
            <w:pPr>
              <w:jc w:val="right"/>
              <w:ind w:right="40"/>
              <w:spacing w:after="0"/>
              <w:rPr>
                <w:sz w:val="20"/>
                <w:szCs w:val="20"/>
                <w:color w:val="auto"/>
              </w:rPr>
            </w:pPr>
            <w:r>
              <w:rPr>
                <w:rFonts w:ascii="Arial" w:cs="Arial" w:eastAsia="Arial" w:hAnsi="Arial"/>
                <w:sz w:val="16"/>
                <w:szCs w:val="16"/>
                <w:b w:val="1"/>
                <w:bCs w:val="1"/>
                <w:color w:val="00A1DF"/>
              </w:rPr>
              <w:t>2019 Target</w:t>
            </w:r>
          </w:p>
        </w:tc>
        <w:tc>
          <w:tcPr>
            <w:tcW w:w="2120" w:type="dxa"/>
            <w:vAlign w:val="bottom"/>
            <w:gridSpan w:val="2"/>
          </w:tcPr>
          <w:p>
            <w:pPr>
              <w:ind w:left="660"/>
              <w:spacing w:after="0"/>
              <w:rPr>
                <w:sz w:val="20"/>
                <w:szCs w:val="20"/>
                <w:color w:val="auto"/>
              </w:rPr>
            </w:pPr>
            <w:r>
              <w:rPr>
                <w:rFonts w:ascii="Arial" w:cs="Arial" w:eastAsia="Arial" w:hAnsi="Arial"/>
                <w:sz w:val="16"/>
                <w:szCs w:val="16"/>
                <w:b w:val="1"/>
                <w:bCs w:val="1"/>
                <w:color w:val="00A1DF"/>
              </w:rPr>
              <w:t>2019 Maximum</w:t>
            </w:r>
          </w:p>
        </w:tc>
      </w:tr>
      <w:tr>
        <w:trPr>
          <w:trHeight w:val="227"/>
        </w:trPr>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360" w:type="dxa"/>
            <w:vAlign w:val="bottom"/>
          </w:tcPr>
          <w:p>
            <w:pPr>
              <w:jc w:val="right"/>
              <w:ind w:right="40"/>
              <w:spacing w:after="0"/>
              <w:rPr>
                <w:sz w:val="20"/>
                <w:szCs w:val="20"/>
                <w:color w:val="auto"/>
              </w:rPr>
            </w:pPr>
            <w:r>
              <w:rPr>
                <w:rFonts w:ascii="Arial" w:cs="Arial" w:eastAsia="Arial" w:hAnsi="Arial"/>
                <w:sz w:val="16"/>
                <w:szCs w:val="16"/>
                <w:b w:val="1"/>
                <w:bCs w:val="1"/>
                <w:color w:val="00A1DF"/>
              </w:rPr>
              <w:t>($)</w:t>
            </w:r>
          </w:p>
        </w:tc>
        <w:tc>
          <w:tcPr>
            <w:tcW w:w="1960" w:type="dxa"/>
            <w:vAlign w:val="bottom"/>
          </w:tcPr>
          <w:p>
            <w:pPr>
              <w:jc w:val="right"/>
              <w:ind w:right="81"/>
              <w:spacing w:after="0"/>
              <w:rPr>
                <w:sz w:val="20"/>
                <w:szCs w:val="20"/>
                <w:color w:val="auto"/>
              </w:rPr>
            </w:pPr>
            <w:r>
              <w:rPr>
                <w:rFonts w:ascii="Arial" w:cs="Arial" w:eastAsia="Arial" w:hAnsi="Arial"/>
                <w:sz w:val="16"/>
                <w:szCs w:val="16"/>
                <w:b w:val="1"/>
                <w:bCs w:val="1"/>
                <w:color w:val="00A1DF"/>
              </w:rPr>
              <w:t>($)</w:t>
            </w:r>
          </w:p>
        </w:tc>
        <w:tc>
          <w:tcPr>
            <w:tcW w:w="160" w:type="dxa"/>
            <w:vAlign w:val="bottom"/>
          </w:tcPr>
          <w:p>
            <w:pPr>
              <w:spacing w:after="0"/>
              <w:rPr>
                <w:sz w:val="19"/>
                <w:szCs w:val="19"/>
                <w:color w:val="auto"/>
              </w:rPr>
            </w:pPr>
          </w:p>
        </w:tc>
      </w:tr>
      <w:tr>
        <w:trPr>
          <w:trHeight w:val="72"/>
        </w:trPr>
        <w:tc>
          <w:tcPr>
            <w:tcW w:w="180" w:type="dxa"/>
            <w:vAlign w:val="bottom"/>
          </w:tcPr>
          <w:p>
            <w:pPr>
              <w:spacing w:after="0"/>
              <w:rPr>
                <w:sz w:val="6"/>
                <w:szCs w:val="6"/>
                <w:color w:val="auto"/>
              </w:rPr>
            </w:pPr>
          </w:p>
        </w:tc>
        <w:tc>
          <w:tcPr>
            <w:tcW w:w="2260" w:type="dxa"/>
            <w:vAlign w:val="bottom"/>
            <w:tcBorders>
              <w:bottom w:val="single" w:sz="8" w:color="00A1DF"/>
            </w:tcBorders>
          </w:tcPr>
          <w:p>
            <w:pPr>
              <w:spacing w:after="0"/>
              <w:rPr>
                <w:sz w:val="6"/>
                <w:szCs w:val="6"/>
                <w:color w:val="auto"/>
              </w:rPr>
            </w:pPr>
          </w:p>
        </w:tc>
        <w:tc>
          <w:tcPr>
            <w:tcW w:w="6360" w:type="dxa"/>
            <w:vAlign w:val="bottom"/>
            <w:tcBorders>
              <w:bottom w:val="single" w:sz="8" w:color="00A1DF"/>
            </w:tcBorders>
          </w:tcPr>
          <w:p>
            <w:pPr>
              <w:spacing w:after="0"/>
              <w:rPr>
                <w:sz w:val="6"/>
                <w:szCs w:val="6"/>
                <w:color w:val="auto"/>
              </w:rPr>
            </w:pPr>
          </w:p>
        </w:tc>
        <w:tc>
          <w:tcPr>
            <w:tcW w:w="1960" w:type="dxa"/>
            <w:vAlign w:val="bottom"/>
            <w:tcBorders>
              <w:bottom w:val="single" w:sz="8" w:color="00A1DF"/>
            </w:tcBorders>
          </w:tcPr>
          <w:p>
            <w:pPr>
              <w:spacing w:after="0"/>
              <w:rPr>
                <w:sz w:val="6"/>
                <w:szCs w:val="6"/>
                <w:color w:val="auto"/>
              </w:rPr>
            </w:pPr>
          </w:p>
        </w:tc>
        <w:tc>
          <w:tcPr>
            <w:tcW w:w="160" w:type="dxa"/>
            <w:vAlign w:val="bottom"/>
          </w:tcPr>
          <w:p>
            <w:pPr>
              <w:spacing w:after="0"/>
              <w:rPr>
                <w:sz w:val="6"/>
                <w:szCs w:val="6"/>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Mary T. Barra</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10,575,006</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21,150,012</w:t>
            </w:r>
          </w:p>
        </w:tc>
        <w:tc>
          <w:tcPr>
            <w:tcW w:w="160" w:type="dxa"/>
            <w:vAlign w:val="bottom"/>
          </w:tcPr>
          <w:p>
            <w:pPr>
              <w:spacing w:after="0"/>
              <w:rPr>
                <w:sz w:val="21"/>
                <w:szCs w:val="21"/>
                <w:color w:val="auto"/>
              </w:rPr>
            </w:pPr>
          </w:p>
        </w:tc>
      </w:tr>
      <w:tr>
        <w:trPr>
          <w:trHeight w:val="59"/>
        </w:trPr>
        <w:tc>
          <w:tcPr>
            <w:tcW w:w="18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Dhivya Suryadevara</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3,187,509</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6,375,018</w:t>
            </w:r>
          </w:p>
        </w:tc>
        <w:tc>
          <w:tcPr>
            <w:tcW w:w="160" w:type="dxa"/>
            <w:vAlign w:val="bottom"/>
          </w:tcPr>
          <w:p>
            <w:pPr>
              <w:spacing w:after="0"/>
              <w:rPr>
                <w:sz w:val="21"/>
                <w:szCs w:val="21"/>
                <w:color w:val="auto"/>
              </w:rPr>
            </w:pPr>
          </w:p>
        </w:tc>
      </w:tr>
      <w:tr>
        <w:trPr>
          <w:trHeight w:val="59"/>
        </w:trPr>
        <w:tc>
          <w:tcPr>
            <w:tcW w:w="18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Mark L. Reuss</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3,600,012</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7,200,024</w:t>
            </w:r>
          </w:p>
        </w:tc>
        <w:tc>
          <w:tcPr>
            <w:tcW w:w="160" w:type="dxa"/>
            <w:vAlign w:val="bottom"/>
          </w:tcPr>
          <w:p>
            <w:pPr>
              <w:spacing w:after="0"/>
              <w:rPr>
                <w:sz w:val="21"/>
                <w:szCs w:val="21"/>
                <w:color w:val="auto"/>
              </w:rPr>
            </w:pPr>
          </w:p>
        </w:tc>
      </w:tr>
      <w:tr>
        <w:trPr>
          <w:trHeight w:val="59"/>
        </w:trPr>
        <w:tc>
          <w:tcPr>
            <w:tcW w:w="18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Barry L. Engle II</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2,400,012</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4,800,024</w:t>
            </w:r>
          </w:p>
        </w:tc>
        <w:tc>
          <w:tcPr>
            <w:tcW w:w="160" w:type="dxa"/>
            <w:vAlign w:val="bottom"/>
          </w:tcPr>
          <w:p>
            <w:pPr>
              <w:spacing w:after="0"/>
              <w:rPr>
                <w:sz w:val="21"/>
                <w:szCs w:val="21"/>
                <w:color w:val="auto"/>
              </w:rPr>
            </w:pPr>
          </w:p>
        </w:tc>
      </w:tr>
      <w:tr>
        <w:trPr>
          <w:trHeight w:val="59"/>
        </w:trPr>
        <w:tc>
          <w:tcPr>
            <w:tcW w:w="18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Craig B. Glidden</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1,804,686</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3,609,372</w:t>
            </w:r>
          </w:p>
        </w:tc>
        <w:tc>
          <w:tcPr>
            <w:tcW w:w="160" w:type="dxa"/>
            <w:vAlign w:val="bottom"/>
          </w:tcPr>
          <w:p>
            <w:pPr>
              <w:spacing w:after="0"/>
              <w:rPr>
                <w:sz w:val="21"/>
                <w:szCs w:val="21"/>
                <w:color w:val="auto"/>
              </w:rPr>
            </w:pPr>
          </w:p>
        </w:tc>
      </w:tr>
      <w:tr>
        <w:trPr>
          <w:trHeight w:val="59"/>
        </w:trPr>
        <w:tc>
          <w:tcPr>
            <w:tcW w:w="18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242"/>
        </w:trPr>
        <w:tc>
          <w:tcPr>
            <w:tcW w:w="180" w:type="dxa"/>
            <w:vAlign w:val="bottom"/>
          </w:tcPr>
          <w:p>
            <w:pPr>
              <w:spacing w:after="0"/>
              <w:rPr>
                <w:sz w:val="21"/>
                <w:szCs w:val="21"/>
                <w:color w:val="auto"/>
              </w:rPr>
            </w:pPr>
          </w:p>
        </w:tc>
        <w:tc>
          <w:tcPr>
            <w:tcW w:w="2260" w:type="dxa"/>
            <w:vAlign w:val="bottom"/>
          </w:tcPr>
          <w:p>
            <w:pPr>
              <w:ind w:left="60"/>
              <w:spacing w:after="0"/>
              <w:rPr>
                <w:sz w:val="20"/>
                <w:szCs w:val="20"/>
                <w:color w:val="auto"/>
              </w:rPr>
            </w:pPr>
            <w:r>
              <w:rPr>
                <w:rFonts w:ascii="Arial" w:cs="Arial" w:eastAsia="Arial" w:hAnsi="Arial"/>
                <w:sz w:val="16"/>
                <w:szCs w:val="16"/>
                <w:color w:val="auto"/>
              </w:rPr>
              <w:t>Alan S. Batey</w:t>
            </w:r>
          </w:p>
        </w:tc>
        <w:tc>
          <w:tcPr>
            <w:tcW w:w="6360" w:type="dxa"/>
            <w:vAlign w:val="bottom"/>
          </w:tcPr>
          <w:p>
            <w:pPr>
              <w:jc w:val="right"/>
              <w:ind w:right="40"/>
              <w:spacing w:after="0"/>
              <w:rPr>
                <w:sz w:val="20"/>
                <w:szCs w:val="20"/>
                <w:color w:val="auto"/>
              </w:rPr>
            </w:pPr>
            <w:r>
              <w:rPr>
                <w:rFonts w:ascii="Arial" w:cs="Arial" w:eastAsia="Arial" w:hAnsi="Arial"/>
                <w:sz w:val="16"/>
                <w:szCs w:val="16"/>
                <w:color w:val="auto"/>
              </w:rPr>
              <w:t>2,020,278</w:t>
            </w:r>
          </w:p>
        </w:tc>
        <w:tc>
          <w:tcPr>
            <w:tcW w:w="1960" w:type="dxa"/>
            <w:vAlign w:val="bottom"/>
          </w:tcPr>
          <w:p>
            <w:pPr>
              <w:jc w:val="right"/>
              <w:ind w:right="81"/>
              <w:spacing w:after="0"/>
              <w:rPr>
                <w:sz w:val="20"/>
                <w:szCs w:val="20"/>
                <w:color w:val="auto"/>
              </w:rPr>
            </w:pPr>
            <w:r>
              <w:rPr>
                <w:rFonts w:ascii="Arial" w:cs="Arial" w:eastAsia="Arial" w:hAnsi="Arial"/>
                <w:sz w:val="16"/>
                <w:szCs w:val="16"/>
                <w:color w:val="auto"/>
              </w:rPr>
              <w:t>4,040,556</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37465</wp:posOffset>
            </wp:positionV>
            <wp:extent cx="67176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717665" cy="8255"/>
                    </a:xfrm>
                    <a:prstGeom prst="rect">
                      <a:avLst/>
                    </a:prstGeom>
                    <a:noFill/>
                  </pic:spPr>
                </pic:pic>
              </a:graphicData>
            </a:graphic>
          </wp:anchor>
        </w:drawing>
      </w:r>
    </w:p>
    <w:p>
      <w:pPr>
        <w:spacing w:after="0" w:line="114" w:lineRule="exact"/>
        <w:rPr>
          <w:sz w:val="20"/>
          <w:szCs w:val="20"/>
          <w:color w:val="auto"/>
        </w:rPr>
      </w:pPr>
    </w:p>
    <w:p>
      <w:pPr>
        <w:jc w:val="both"/>
        <w:ind w:left="600" w:right="20" w:hanging="433"/>
        <w:spacing w:after="0" w:line="246" w:lineRule="auto"/>
        <w:tabs>
          <w:tab w:leader="none" w:pos="60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Option Awards displays the grant date fair value of Stock Options issued under the LTIP, computed in accordance with FASB ASC Topic 718 using a Black-Scholes valuation. The assumptions used for the Black-Scholes valuation of the Stock Options are summarized below:</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240" w:type="dxa"/>
            <w:vAlign w:val="bottom"/>
            <w:tcBorders>
              <w:right w:val="single" w:sz="8" w:color="0033A0"/>
            </w:tcBorders>
          </w:tcPr>
          <w:p>
            <w:pPr>
              <w:ind w:left="760"/>
              <w:spacing w:after="0"/>
              <w:rPr>
                <w:sz w:val="20"/>
                <w:szCs w:val="20"/>
                <w:color w:val="auto"/>
              </w:rPr>
            </w:pPr>
            <w:r>
              <w:rPr>
                <w:rFonts w:ascii="Arial" w:cs="Arial" w:eastAsia="Arial" w:hAnsi="Arial"/>
                <w:sz w:val="14"/>
                <w:szCs w:val="14"/>
                <w:i w:val="1"/>
                <w:iCs w:val="1"/>
                <w:color w:val="auto"/>
              </w:rPr>
              <w:t>Grant Date</w:t>
            </w:r>
          </w:p>
        </w:tc>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Dividend Yield</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Implied Volatility</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Risk-Free Interest Rate</w:t>
            </w:r>
          </w:p>
        </w:tc>
        <w:tc>
          <w:tcPr>
            <w:tcW w:w="1680" w:type="dxa"/>
            <w:vAlign w:val="bottom"/>
            <w:tcBorders>
              <w:right w:val="single" w:sz="8" w:color="0033A0"/>
            </w:tcBorders>
          </w:tcPr>
          <w:p>
            <w:pPr>
              <w:jc w:val="center"/>
              <w:ind w:left="9"/>
              <w:spacing w:after="0"/>
              <w:rPr>
                <w:sz w:val="20"/>
                <w:szCs w:val="20"/>
                <w:color w:val="auto"/>
              </w:rPr>
            </w:pPr>
            <w:r>
              <w:rPr>
                <w:rFonts w:ascii="Arial" w:cs="Arial" w:eastAsia="Arial" w:hAnsi="Arial"/>
                <w:sz w:val="14"/>
                <w:szCs w:val="14"/>
                <w:i w:val="1"/>
                <w:iCs w:val="1"/>
                <w:color w:val="auto"/>
              </w:rPr>
              <w:t>Expected Option Life</w:t>
            </w:r>
          </w:p>
        </w:tc>
        <w:tc>
          <w:tcPr>
            <w:tcW w:w="1580" w:type="dxa"/>
            <w:vAlign w:val="bottom"/>
          </w:tcPr>
          <w:p>
            <w:pPr>
              <w:jc w:val="center"/>
              <w:ind w:left="9"/>
              <w:spacing w:after="0"/>
              <w:rPr>
                <w:sz w:val="20"/>
                <w:szCs w:val="20"/>
                <w:color w:val="auto"/>
              </w:rPr>
            </w:pPr>
            <w:r>
              <w:rPr>
                <w:rFonts w:ascii="Arial" w:cs="Arial" w:eastAsia="Arial" w:hAnsi="Arial"/>
                <w:sz w:val="14"/>
                <w:szCs w:val="14"/>
                <w:i w:val="1"/>
                <w:iCs w:val="1"/>
                <w:color w:val="auto"/>
              </w:rPr>
              <w:t>Grant Date Fair Value</w:t>
            </w:r>
          </w:p>
        </w:tc>
      </w:tr>
      <w:tr>
        <w:trPr>
          <w:trHeight w:val="49"/>
        </w:trPr>
        <w:tc>
          <w:tcPr>
            <w:tcW w:w="2240" w:type="dxa"/>
            <w:vAlign w:val="bottom"/>
            <w:tcBorders>
              <w:bottom w:val="single" w:sz="8" w:color="0033A0"/>
              <w:right w:val="single" w:sz="8" w:color="0033A0"/>
            </w:tcBorders>
          </w:tcPr>
          <w:p>
            <w:pPr>
              <w:spacing w:after="0"/>
              <w:rPr>
                <w:sz w:val="4"/>
                <w:szCs w:val="4"/>
                <w:color w:val="auto"/>
              </w:rPr>
            </w:pPr>
          </w:p>
        </w:tc>
        <w:tc>
          <w:tcPr>
            <w:tcW w:w="1680" w:type="dxa"/>
            <w:vAlign w:val="bottom"/>
            <w:tcBorders>
              <w:bottom w:val="single" w:sz="8" w:color="0033A0"/>
              <w:right w:val="single" w:sz="8" w:color="0033A0"/>
            </w:tcBorders>
          </w:tcPr>
          <w:p>
            <w:pPr>
              <w:spacing w:after="0"/>
              <w:rPr>
                <w:sz w:val="4"/>
                <w:szCs w:val="4"/>
                <w:color w:val="auto"/>
              </w:rPr>
            </w:pPr>
          </w:p>
        </w:tc>
        <w:tc>
          <w:tcPr>
            <w:tcW w:w="1700" w:type="dxa"/>
            <w:vAlign w:val="bottom"/>
            <w:tcBorders>
              <w:bottom w:val="single" w:sz="8" w:color="0033A0"/>
              <w:right w:val="single" w:sz="8" w:color="0033A0"/>
            </w:tcBorders>
          </w:tcPr>
          <w:p>
            <w:pPr>
              <w:spacing w:after="0"/>
              <w:rPr>
                <w:sz w:val="4"/>
                <w:szCs w:val="4"/>
                <w:color w:val="auto"/>
              </w:rPr>
            </w:pPr>
          </w:p>
        </w:tc>
        <w:tc>
          <w:tcPr>
            <w:tcW w:w="1700" w:type="dxa"/>
            <w:vAlign w:val="bottom"/>
            <w:tcBorders>
              <w:bottom w:val="single" w:sz="8" w:color="0033A0"/>
              <w:right w:val="single" w:sz="8" w:color="0033A0"/>
            </w:tcBorders>
          </w:tcPr>
          <w:p>
            <w:pPr>
              <w:spacing w:after="0"/>
              <w:rPr>
                <w:sz w:val="4"/>
                <w:szCs w:val="4"/>
                <w:color w:val="auto"/>
              </w:rPr>
            </w:pPr>
          </w:p>
        </w:tc>
        <w:tc>
          <w:tcPr>
            <w:tcW w:w="1680" w:type="dxa"/>
            <w:vAlign w:val="bottom"/>
            <w:tcBorders>
              <w:bottom w:val="single" w:sz="8" w:color="0033A0"/>
              <w:right w:val="single" w:sz="8" w:color="0033A0"/>
            </w:tcBorders>
          </w:tcPr>
          <w:p>
            <w:pPr>
              <w:spacing w:after="0"/>
              <w:rPr>
                <w:sz w:val="4"/>
                <w:szCs w:val="4"/>
                <w:color w:val="auto"/>
              </w:rPr>
            </w:pPr>
          </w:p>
        </w:tc>
        <w:tc>
          <w:tcPr>
            <w:tcW w:w="1580" w:type="dxa"/>
            <w:vAlign w:val="bottom"/>
            <w:tcBorders>
              <w:bottom w:val="single" w:sz="8" w:color="0033A0"/>
            </w:tcBorders>
          </w:tcPr>
          <w:p>
            <w:pPr>
              <w:spacing w:after="0"/>
              <w:rPr>
                <w:sz w:val="4"/>
                <w:szCs w:val="4"/>
                <w:color w:val="auto"/>
              </w:rPr>
            </w:pPr>
          </w:p>
        </w:tc>
      </w:tr>
      <w:tr>
        <w:trPr>
          <w:trHeight w:val="236"/>
        </w:trPr>
        <w:tc>
          <w:tcPr>
            <w:tcW w:w="2240" w:type="dxa"/>
            <w:vAlign w:val="bottom"/>
            <w:tcBorders>
              <w:right w:val="single" w:sz="8" w:color="0033A0"/>
            </w:tcBorders>
          </w:tcPr>
          <w:p>
            <w:pPr>
              <w:jc w:val="right"/>
              <w:ind w:right="749"/>
              <w:spacing w:after="0"/>
              <w:rPr>
                <w:sz w:val="20"/>
                <w:szCs w:val="20"/>
                <w:color w:val="auto"/>
              </w:rPr>
            </w:pPr>
            <w:r>
              <w:rPr>
                <w:rFonts w:ascii="Arial" w:cs="Arial" w:eastAsia="Arial" w:hAnsi="Arial"/>
                <w:sz w:val="14"/>
                <w:szCs w:val="14"/>
                <w:i w:val="1"/>
                <w:iCs w:val="1"/>
                <w:color w:val="auto"/>
              </w:rPr>
              <w:t>2/13/2019</w:t>
            </w:r>
          </w:p>
        </w:tc>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3.90%</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w w:val="99"/>
              </w:rPr>
              <w:t>28%</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2.63%</w:t>
            </w:r>
          </w:p>
        </w:tc>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6.00 years</w:t>
            </w:r>
          </w:p>
        </w:tc>
        <w:tc>
          <w:tcPr>
            <w:tcW w:w="1580" w:type="dxa"/>
            <w:vAlign w:val="bottom"/>
          </w:tcPr>
          <w:p>
            <w:pPr>
              <w:jc w:val="center"/>
              <w:ind w:left="29"/>
              <w:spacing w:after="0"/>
              <w:rPr>
                <w:sz w:val="20"/>
                <w:szCs w:val="20"/>
                <w:color w:val="auto"/>
              </w:rPr>
            </w:pPr>
            <w:r>
              <w:rPr>
                <w:rFonts w:ascii="Arial" w:cs="Arial" w:eastAsia="Arial" w:hAnsi="Arial"/>
                <w:sz w:val="14"/>
                <w:szCs w:val="14"/>
                <w:i w:val="1"/>
                <w:iCs w:val="1"/>
                <w:color w:val="auto"/>
              </w:rPr>
              <w:t>$7.50</w:t>
            </w:r>
          </w:p>
        </w:tc>
      </w:tr>
      <w:tr>
        <w:trPr>
          <w:trHeight w:val="321"/>
        </w:trPr>
        <w:tc>
          <w:tcPr>
            <w:tcW w:w="2240" w:type="dxa"/>
            <w:vAlign w:val="bottom"/>
            <w:tcBorders>
              <w:right w:val="single" w:sz="8" w:color="0033A0"/>
            </w:tcBorders>
          </w:tcPr>
          <w:p>
            <w:pPr>
              <w:jc w:val="right"/>
              <w:ind w:right="789"/>
              <w:spacing w:after="0"/>
              <w:rPr>
                <w:sz w:val="20"/>
                <w:szCs w:val="20"/>
                <w:color w:val="auto"/>
              </w:rPr>
            </w:pPr>
            <w:r>
              <w:rPr>
                <w:rFonts w:ascii="Arial" w:cs="Arial" w:eastAsia="Arial" w:hAnsi="Arial"/>
                <w:sz w:val="14"/>
                <w:szCs w:val="14"/>
                <w:i w:val="1"/>
                <w:iCs w:val="1"/>
                <w:color w:val="auto"/>
              </w:rPr>
              <w:t>4/1/2019</w:t>
            </w:r>
          </w:p>
        </w:tc>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4.03%</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w w:val="99"/>
              </w:rPr>
              <w:t>26%</w:t>
            </w:r>
          </w:p>
        </w:tc>
        <w:tc>
          <w:tcPr>
            <w:tcW w:w="170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2.35%</w:t>
            </w:r>
          </w:p>
        </w:tc>
        <w:tc>
          <w:tcPr>
            <w:tcW w:w="1680" w:type="dxa"/>
            <w:vAlign w:val="bottom"/>
            <w:tcBorders>
              <w:right w:val="single" w:sz="8" w:color="0033A0"/>
            </w:tcBorders>
          </w:tcPr>
          <w:p>
            <w:pPr>
              <w:jc w:val="center"/>
              <w:spacing w:after="0"/>
              <w:rPr>
                <w:sz w:val="20"/>
                <w:szCs w:val="20"/>
                <w:color w:val="auto"/>
              </w:rPr>
            </w:pPr>
            <w:r>
              <w:rPr>
                <w:rFonts w:ascii="Arial" w:cs="Arial" w:eastAsia="Arial" w:hAnsi="Arial"/>
                <w:sz w:val="14"/>
                <w:szCs w:val="14"/>
                <w:i w:val="1"/>
                <w:iCs w:val="1"/>
                <w:color w:val="auto"/>
              </w:rPr>
              <w:t>5.87 years</w:t>
            </w:r>
          </w:p>
        </w:tc>
        <w:tc>
          <w:tcPr>
            <w:tcW w:w="1580" w:type="dxa"/>
            <w:vAlign w:val="bottom"/>
          </w:tcPr>
          <w:p>
            <w:pPr>
              <w:jc w:val="center"/>
              <w:ind w:left="29"/>
              <w:spacing w:after="0"/>
              <w:rPr>
                <w:sz w:val="20"/>
                <w:szCs w:val="20"/>
                <w:color w:val="auto"/>
              </w:rPr>
            </w:pPr>
            <w:r>
              <w:rPr>
                <w:rFonts w:ascii="Arial" w:cs="Arial" w:eastAsia="Arial" w:hAnsi="Arial"/>
                <w:sz w:val="14"/>
                <w:szCs w:val="14"/>
                <w:i w:val="1"/>
                <w:iCs w:val="1"/>
                <w:color w:val="auto"/>
              </w:rPr>
              <w:t>$6.36</w:t>
            </w:r>
          </w:p>
        </w:tc>
      </w:tr>
      <w:tr>
        <w:trPr>
          <w:trHeight w:val="65"/>
        </w:trPr>
        <w:tc>
          <w:tcPr>
            <w:tcW w:w="2240" w:type="dxa"/>
            <w:vAlign w:val="bottom"/>
            <w:tcBorders>
              <w:right w:val="single" w:sz="8" w:color="0033A0"/>
            </w:tcBorders>
          </w:tcPr>
          <w:p>
            <w:pPr>
              <w:spacing w:after="0"/>
              <w:rPr>
                <w:sz w:val="5"/>
                <w:szCs w:val="5"/>
                <w:color w:val="auto"/>
              </w:rPr>
            </w:pPr>
          </w:p>
        </w:tc>
        <w:tc>
          <w:tcPr>
            <w:tcW w:w="1680" w:type="dxa"/>
            <w:vAlign w:val="bottom"/>
            <w:tcBorders>
              <w:right w:val="single" w:sz="8" w:color="0033A0"/>
            </w:tcBorders>
          </w:tcPr>
          <w:p>
            <w:pPr>
              <w:spacing w:after="0"/>
              <w:rPr>
                <w:sz w:val="5"/>
                <w:szCs w:val="5"/>
                <w:color w:val="auto"/>
              </w:rPr>
            </w:pPr>
          </w:p>
        </w:tc>
        <w:tc>
          <w:tcPr>
            <w:tcW w:w="1700" w:type="dxa"/>
            <w:vAlign w:val="bottom"/>
            <w:tcBorders>
              <w:right w:val="single" w:sz="8" w:color="0033A0"/>
            </w:tcBorders>
          </w:tcPr>
          <w:p>
            <w:pPr>
              <w:spacing w:after="0"/>
              <w:rPr>
                <w:sz w:val="5"/>
                <w:szCs w:val="5"/>
                <w:color w:val="auto"/>
              </w:rPr>
            </w:pPr>
          </w:p>
        </w:tc>
        <w:tc>
          <w:tcPr>
            <w:tcW w:w="1700" w:type="dxa"/>
            <w:vAlign w:val="bottom"/>
            <w:tcBorders>
              <w:right w:val="single" w:sz="8" w:color="0033A0"/>
            </w:tcBorders>
          </w:tcPr>
          <w:p>
            <w:pPr>
              <w:spacing w:after="0"/>
              <w:rPr>
                <w:sz w:val="5"/>
                <w:szCs w:val="5"/>
                <w:color w:val="auto"/>
              </w:rPr>
            </w:pPr>
          </w:p>
        </w:tc>
        <w:tc>
          <w:tcPr>
            <w:tcW w:w="1680" w:type="dxa"/>
            <w:vAlign w:val="bottom"/>
            <w:tcBorders>
              <w:right w:val="single" w:sz="8" w:color="0033A0"/>
            </w:tcBorders>
          </w:tcPr>
          <w:p>
            <w:pPr>
              <w:spacing w:after="0"/>
              <w:rPr>
                <w:sz w:val="5"/>
                <w:szCs w:val="5"/>
                <w:color w:val="auto"/>
              </w:rPr>
            </w:pPr>
          </w:p>
        </w:tc>
        <w:tc>
          <w:tcPr>
            <w:tcW w:w="1580" w:type="dxa"/>
            <w:vAlign w:val="bottom"/>
          </w:tcPr>
          <w:p>
            <w:pPr>
              <w:spacing w:after="0"/>
              <w:rPr>
                <w:sz w:val="5"/>
                <w:szCs w:val="5"/>
                <w:color w:val="auto"/>
              </w:rPr>
            </w:pPr>
          </w:p>
        </w:tc>
      </w:tr>
    </w:tbl>
    <w:p>
      <w:pPr>
        <w:spacing w:after="0" w:line="61" w:lineRule="exact"/>
        <w:rPr>
          <w:sz w:val="20"/>
          <w:szCs w:val="20"/>
          <w:color w:val="auto"/>
        </w:rPr>
      </w:pPr>
    </w:p>
    <w:p>
      <w:pPr>
        <w:jc w:val="both"/>
        <w:ind w:left="600" w:right="20" w:hanging="433"/>
        <w:spacing w:after="0" w:line="246" w:lineRule="auto"/>
        <w:tabs>
          <w:tab w:leader="none" w:pos="6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All NEOs were eligible for a payment under the STIP for 2019 performance based on the Company’s achievement of annual performance goals and individual performance. Individual performance decisions for each NEO are determined by the Compensation Committee; results are discussed beginning on page 52 of this Proxy Statement.</w:t>
      </w:r>
    </w:p>
    <w:p>
      <w:pPr>
        <w:spacing w:after="0" w:line="45" w:lineRule="exact"/>
        <w:rPr>
          <w:rFonts w:ascii="Arial" w:cs="Arial" w:eastAsia="Arial" w:hAnsi="Arial"/>
          <w:sz w:val="18"/>
          <w:szCs w:val="18"/>
          <w:i w:val="1"/>
          <w:iCs w:val="1"/>
          <w:color w:val="auto"/>
        </w:rPr>
      </w:pPr>
    </w:p>
    <w:p>
      <w:pPr>
        <w:jc w:val="both"/>
        <w:ind w:left="600" w:right="20" w:hanging="433"/>
        <w:spacing w:after="0" w:line="239" w:lineRule="auto"/>
        <w:tabs>
          <w:tab w:leader="none" w:pos="6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represent the actuarial change in the present value of the NEO’s accrued benefit for 2019 attributed to year-over-year variances in applicable discount rates, lump sum interest rates, mortality rates, and employer contributions to tax-qualified and non-tax-qualified plans, as described in “Pension Benefits” on page 67 of this Proxy Statement. The Company does not credit interest at above-market rates to any deferred accounts and no interest amounts are included in these totals. Mr. Engle and Mr. Glidden are not eligible for defined benefit pension plans.</w:t>
      </w:r>
    </w:p>
    <w:p>
      <w:pPr>
        <w:spacing w:after="0" w:line="52" w:lineRule="exact"/>
        <w:rPr>
          <w:rFonts w:ascii="Arial" w:cs="Arial" w:eastAsia="Arial" w:hAnsi="Arial"/>
          <w:sz w:val="18"/>
          <w:szCs w:val="18"/>
          <w:i w:val="1"/>
          <w:iCs w:val="1"/>
          <w:color w:val="auto"/>
        </w:rPr>
      </w:pPr>
    </w:p>
    <w:p>
      <w:pPr>
        <w:ind w:left="600" w:hanging="433"/>
        <w:spacing w:after="0"/>
        <w:tabs>
          <w:tab w:leader="none" w:pos="6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included as All Other Compensation are described in the table below.</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0"/>
          <w:szCs w:val="20"/>
          <w:color w:val="00A1DF"/>
        </w:rPr>
        <w:t>All Other Compensation</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300" w:type="dxa"/>
            <w:vAlign w:val="bottom"/>
            <w:tcBorders>
              <w:top w:val="single" w:sz="8" w:color="00A1DF"/>
            </w:tcBorders>
          </w:tcPr>
          <w:p>
            <w:pPr>
              <w:spacing w:after="0"/>
              <w:rPr>
                <w:sz w:val="17"/>
                <w:szCs w:val="17"/>
                <w:color w:val="auto"/>
              </w:rPr>
            </w:pPr>
          </w:p>
        </w:tc>
        <w:tc>
          <w:tcPr>
            <w:tcW w:w="136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M.T. Barra</w:t>
            </w:r>
          </w:p>
        </w:tc>
        <w:tc>
          <w:tcPr>
            <w:tcW w:w="160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D. Suryadevara</w:t>
            </w:r>
          </w:p>
        </w:tc>
        <w:tc>
          <w:tcPr>
            <w:tcW w:w="124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M.L. Reuss</w:t>
            </w:r>
          </w:p>
        </w:tc>
        <w:tc>
          <w:tcPr>
            <w:tcW w:w="122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B. L. Engle</w:t>
            </w:r>
          </w:p>
        </w:tc>
        <w:tc>
          <w:tcPr>
            <w:tcW w:w="142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C. B. Glidden</w:t>
            </w:r>
          </w:p>
        </w:tc>
        <w:tc>
          <w:tcPr>
            <w:tcW w:w="1100" w:type="dxa"/>
            <w:vAlign w:val="bottom"/>
            <w:tcBorders>
              <w:top w:val="single" w:sz="8" w:color="00A1DF"/>
            </w:tcBorders>
          </w:tcPr>
          <w:p>
            <w:pPr>
              <w:jc w:val="right"/>
              <w:spacing w:after="0" w:line="205" w:lineRule="exact"/>
              <w:rPr>
                <w:sz w:val="20"/>
                <w:szCs w:val="20"/>
                <w:color w:val="auto"/>
              </w:rPr>
            </w:pPr>
            <w:r>
              <w:rPr>
                <w:rFonts w:ascii="Arial" w:cs="Arial" w:eastAsia="Arial" w:hAnsi="Arial"/>
                <w:sz w:val="18"/>
                <w:szCs w:val="18"/>
                <w:b w:val="1"/>
                <w:bCs w:val="1"/>
                <w:color w:val="00A1DF"/>
              </w:rPr>
              <w:t>A.S. Batey</w:t>
            </w:r>
          </w:p>
        </w:tc>
      </w:tr>
      <w:tr>
        <w:trPr>
          <w:trHeight w:val="235"/>
        </w:trPr>
        <w:tc>
          <w:tcPr>
            <w:tcW w:w="2300" w:type="dxa"/>
            <w:vAlign w:val="bottom"/>
          </w:tcPr>
          <w:p>
            <w:pPr>
              <w:spacing w:after="0"/>
              <w:rPr>
                <w:sz w:val="20"/>
                <w:szCs w:val="20"/>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60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42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00A1DF"/>
              </w:rPr>
              <w:t>($)</w:t>
            </w:r>
          </w:p>
        </w:tc>
      </w:tr>
      <w:tr>
        <w:trPr>
          <w:trHeight w:val="82"/>
        </w:trPr>
        <w:tc>
          <w:tcPr>
            <w:tcW w:w="2300" w:type="dxa"/>
            <w:vAlign w:val="bottom"/>
            <w:tcBorders>
              <w:bottom w:val="single" w:sz="8" w:color="00A1DF"/>
            </w:tcBorders>
          </w:tcPr>
          <w:p>
            <w:pPr>
              <w:spacing w:after="0"/>
              <w:rPr>
                <w:sz w:val="7"/>
                <w:szCs w:val="7"/>
                <w:color w:val="auto"/>
              </w:rPr>
            </w:pPr>
          </w:p>
        </w:tc>
        <w:tc>
          <w:tcPr>
            <w:tcW w:w="1360" w:type="dxa"/>
            <w:vAlign w:val="bottom"/>
            <w:tcBorders>
              <w:bottom w:val="single" w:sz="8" w:color="00A1DF"/>
            </w:tcBorders>
          </w:tcPr>
          <w:p>
            <w:pPr>
              <w:spacing w:after="0"/>
              <w:rPr>
                <w:sz w:val="7"/>
                <w:szCs w:val="7"/>
                <w:color w:val="auto"/>
              </w:rPr>
            </w:pPr>
          </w:p>
        </w:tc>
        <w:tc>
          <w:tcPr>
            <w:tcW w:w="1600" w:type="dxa"/>
            <w:vAlign w:val="bottom"/>
            <w:tcBorders>
              <w:bottom w:val="single" w:sz="8" w:color="00A1DF"/>
            </w:tcBorders>
          </w:tcPr>
          <w:p>
            <w:pPr>
              <w:spacing w:after="0"/>
              <w:rPr>
                <w:sz w:val="7"/>
                <w:szCs w:val="7"/>
                <w:color w:val="auto"/>
              </w:rPr>
            </w:pPr>
          </w:p>
        </w:tc>
        <w:tc>
          <w:tcPr>
            <w:tcW w:w="1240" w:type="dxa"/>
            <w:vAlign w:val="bottom"/>
            <w:tcBorders>
              <w:bottom w:val="single" w:sz="8" w:color="00A1DF"/>
            </w:tcBorders>
          </w:tcPr>
          <w:p>
            <w:pPr>
              <w:spacing w:after="0"/>
              <w:rPr>
                <w:sz w:val="7"/>
                <w:szCs w:val="7"/>
                <w:color w:val="auto"/>
              </w:rPr>
            </w:pPr>
          </w:p>
        </w:tc>
        <w:tc>
          <w:tcPr>
            <w:tcW w:w="1220" w:type="dxa"/>
            <w:vAlign w:val="bottom"/>
            <w:tcBorders>
              <w:bottom w:val="single" w:sz="8" w:color="00A1DF"/>
            </w:tcBorders>
          </w:tcPr>
          <w:p>
            <w:pPr>
              <w:spacing w:after="0"/>
              <w:rPr>
                <w:sz w:val="7"/>
                <w:szCs w:val="7"/>
                <w:color w:val="auto"/>
              </w:rPr>
            </w:pPr>
          </w:p>
        </w:tc>
        <w:tc>
          <w:tcPr>
            <w:tcW w:w="1420" w:type="dxa"/>
            <w:vAlign w:val="bottom"/>
            <w:tcBorders>
              <w:bottom w:val="single" w:sz="8" w:color="00A1DF"/>
            </w:tcBorders>
          </w:tcPr>
          <w:p>
            <w:pPr>
              <w:spacing w:after="0"/>
              <w:rPr>
                <w:sz w:val="7"/>
                <w:szCs w:val="7"/>
                <w:color w:val="auto"/>
              </w:rPr>
            </w:pPr>
          </w:p>
        </w:tc>
        <w:tc>
          <w:tcPr>
            <w:tcW w:w="1100" w:type="dxa"/>
            <w:vAlign w:val="bottom"/>
            <w:tcBorders>
              <w:bottom w:val="single" w:sz="8" w:color="00A1DF"/>
            </w:tcBorders>
          </w:tcPr>
          <w:p>
            <w:pPr>
              <w:spacing w:after="0"/>
              <w:rPr>
                <w:sz w:val="7"/>
                <w:szCs w:val="7"/>
                <w:color w:val="auto"/>
              </w:rPr>
            </w:pPr>
          </w:p>
        </w:tc>
      </w:tr>
      <w:tr>
        <w:trPr>
          <w:trHeight w:val="257"/>
        </w:trPr>
        <w:tc>
          <w:tcPr>
            <w:tcW w:w="2300" w:type="dxa"/>
            <w:vAlign w:val="bottom"/>
          </w:tcPr>
          <w:p>
            <w:pPr>
              <w:ind w:left="80"/>
              <w:spacing w:after="0"/>
              <w:rPr>
                <w:sz w:val="20"/>
                <w:szCs w:val="20"/>
                <w:color w:val="auto"/>
              </w:rPr>
            </w:pPr>
            <w:r>
              <w:rPr>
                <w:rFonts w:ascii="Arial" w:cs="Arial" w:eastAsia="Arial" w:hAnsi="Arial"/>
                <w:sz w:val="18"/>
                <w:szCs w:val="18"/>
                <w:color w:val="auto"/>
              </w:rPr>
              <w:t>Perquisites and Other</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2300" w:type="dxa"/>
            <w:vAlign w:val="bottom"/>
          </w:tcPr>
          <w:p>
            <w:pPr>
              <w:ind w:left="80"/>
              <w:spacing w:after="0"/>
              <w:rPr>
                <w:sz w:val="20"/>
                <w:szCs w:val="20"/>
                <w:color w:val="auto"/>
              </w:rPr>
            </w:pPr>
            <w:r>
              <w:rPr>
                <w:rFonts w:ascii="Arial" w:cs="Arial" w:eastAsia="Arial" w:hAnsi="Arial"/>
                <w:sz w:val="18"/>
                <w:szCs w:val="18"/>
                <w:color w:val="auto"/>
              </w:rPr>
              <w:t>Personal Benefits</w:t>
            </w:r>
            <w:r>
              <w:rPr>
                <w:rFonts w:ascii="Arial" w:cs="Arial" w:eastAsia="Arial" w:hAnsi="Arial"/>
                <w:sz w:val="15"/>
                <w:szCs w:val="15"/>
                <w:color w:val="auto"/>
              </w:rPr>
              <w:t>(1)</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340,225</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37,685</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125,263</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37,464</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44,150</w:t>
            </w:r>
          </w:p>
        </w:tc>
        <w:tc>
          <w:tcPr>
            <w:tcW w:w="1100" w:type="dxa"/>
            <w:vAlign w:val="bottom"/>
          </w:tcPr>
          <w:p>
            <w:pPr>
              <w:jc w:val="right"/>
              <w:spacing w:after="0"/>
              <w:rPr>
                <w:sz w:val="20"/>
                <w:szCs w:val="20"/>
                <w:color w:val="auto"/>
              </w:rPr>
            </w:pPr>
            <w:r>
              <w:rPr>
                <w:rFonts w:ascii="Arial" w:cs="Arial" w:eastAsia="Arial" w:hAnsi="Arial"/>
                <w:sz w:val="18"/>
                <w:szCs w:val="18"/>
                <w:color w:val="auto"/>
              </w:rPr>
              <w:t>33,244</w:t>
            </w:r>
          </w:p>
        </w:tc>
      </w:tr>
      <w:tr>
        <w:trPr>
          <w:trHeight w:val="68"/>
        </w:trPr>
        <w:tc>
          <w:tcPr>
            <w:tcW w:w="2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7"/>
        </w:trPr>
        <w:tc>
          <w:tcPr>
            <w:tcW w:w="2300" w:type="dxa"/>
            <w:vAlign w:val="bottom"/>
          </w:tcPr>
          <w:p>
            <w:pPr>
              <w:ind w:left="80"/>
              <w:spacing w:after="0"/>
              <w:rPr>
                <w:sz w:val="20"/>
                <w:szCs w:val="20"/>
                <w:color w:val="auto"/>
              </w:rPr>
            </w:pPr>
            <w:r>
              <w:rPr>
                <w:rFonts w:ascii="Arial" w:cs="Arial" w:eastAsia="Arial" w:hAnsi="Arial"/>
                <w:sz w:val="18"/>
                <w:szCs w:val="18"/>
                <w:color w:val="auto"/>
              </w:rPr>
              <w:t>Employer Contributions</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2300" w:type="dxa"/>
            <w:vAlign w:val="bottom"/>
          </w:tcPr>
          <w:p>
            <w:pPr>
              <w:ind w:left="80"/>
              <w:spacing w:after="0"/>
              <w:rPr>
                <w:sz w:val="20"/>
                <w:szCs w:val="20"/>
                <w:color w:val="auto"/>
              </w:rPr>
            </w:pPr>
            <w:r>
              <w:rPr>
                <w:rFonts w:ascii="Arial" w:cs="Arial" w:eastAsia="Arial" w:hAnsi="Arial"/>
                <w:sz w:val="18"/>
                <w:szCs w:val="18"/>
                <w:color w:val="auto"/>
              </w:rPr>
              <w:t>to Savings Plans</w:t>
            </w:r>
            <w:r>
              <w:rPr>
                <w:rFonts w:ascii="Arial" w:cs="Arial" w:eastAsia="Arial" w:hAnsi="Arial"/>
                <w:sz w:val="15"/>
                <w:szCs w:val="15"/>
                <w:color w:val="auto"/>
              </w:rPr>
              <w:t>(2)</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477,120</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127,700</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215,400</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106,400</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103,076</w:t>
            </w:r>
          </w:p>
        </w:tc>
        <w:tc>
          <w:tcPr>
            <w:tcW w:w="1100" w:type="dxa"/>
            <w:vAlign w:val="bottom"/>
          </w:tcPr>
          <w:p>
            <w:pPr>
              <w:jc w:val="right"/>
              <w:spacing w:after="0"/>
              <w:rPr>
                <w:sz w:val="20"/>
                <w:szCs w:val="20"/>
                <w:color w:val="auto"/>
              </w:rPr>
            </w:pPr>
            <w:r>
              <w:rPr>
                <w:rFonts w:ascii="Arial" w:cs="Arial" w:eastAsia="Arial" w:hAnsi="Arial"/>
                <w:sz w:val="18"/>
                <w:szCs w:val="18"/>
                <w:color w:val="auto"/>
              </w:rPr>
              <w:t>176,300</w:t>
            </w:r>
          </w:p>
        </w:tc>
      </w:tr>
      <w:tr>
        <w:trPr>
          <w:trHeight w:val="68"/>
        </w:trPr>
        <w:tc>
          <w:tcPr>
            <w:tcW w:w="2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7"/>
        </w:trPr>
        <w:tc>
          <w:tcPr>
            <w:tcW w:w="2300" w:type="dxa"/>
            <w:vAlign w:val="bottom"/>
          </w:tcPr>
          <w:p>
            <w:pPr>
              <w:ind w:left="80"/>
              <w:spacing w:after="0"/>
              <w:rPr>
                <w:sz w:val="20"/>
                <w:szCs w:val="20"/>
                <w:color w:val="auto"/>
              </w:rPr>
            </w:pPr>
            <w:r>
              <w:rPr>
                <w:rFonts w:ascii="Arial" w:cs="Arial" w:eastAsia="Arial" w:hAnsi="Arial"/>
                <w:sz w:val="18"/>
                <w:szCs w:val="18"/>
                <w:color w:val="auto"/>
              </w:rPr>
              <w:t>Life and Other</w:t>
            </w: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2300" w:type="dxa"/>
            <w:vAlign w:val="bottom"/>
          </w:tcPr>
          <w:p>
            <w:pPr>
              <w:ind w:left="80"/>
              <w:spacing w:after="0"/>
              <w:rPr>
                <w:sz w:val="20"/>
                <w:szCs w:val="20"/>
                <w:color w:val="auto"/>
              </w:rPr>
            </w:pPr>
            <w:r>
              <w:rPr>
                <w:rFonts w:ascii="Arial" w:cs="Arial" w:eastAsia="Arial" w:hAnsi="Arial"/>
                <w:sz w:val="18"/>
                <w:szCs w:val="18"/>
                <w:color w:val="auto"/>
              </w:rPr>
              <w:t>Insurance Benefits</w:t>
            </w:r>
            <w:r>
              <w:rPr>
                <w:rFonts w:ascii="Arial" w:cs="Arial" w:eastAsia="Arial" w:hAnsi="Arial"/>
                <w:sz w:val="15"/>
                <w:szCs w:val="15"/>
                <w:color w:val="auto"/>
              </w:rPr>
              <w:t>(3)</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13,735</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2,007</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7,711</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5,141</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8,789</w:t>
            </w:r>
          </w:p>
        </w:tc>
        <w:tc>
          <w:tcPr>
            <w:tcW w:w="1100" w:type="dxa"/>
            <w:vAlign w:val="bottom"/>
          </w:tcPr>
          <w:p>
            <w:pPr>
              <w:jc w:val="right"/>
              <w:spacing w:after="0"/>
              <w:rPr>
                <w:sz w:val="20"/>
                <w:szCs w:val="20"/>
                <w:color w:val="auto"/>
              </w:rPr>
            </w:pPr>
            <w:r>
              <w:rPr>
                <w:rFonts w:ascii="Arial" w:cs="Arial" w:eastAsia="Arial" w:hAnsi="Arial"/>
                <w:sz w:val="18"/>
                <w:szCs w:val="18"/>
                <w:color w:val="auto"/>
              </w:rPr>
              <w:t>6,587</w:t>
            </w:r>
          </w:p>
        </w:tc>
      </w:tr>
      <w:tr>
        <w:trPr>
          <w:trHeight w:val="68"/>
        </w:trPr>
        <w:tc>
          <w:tcPr>
            <w:tcW w:w="2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3"/>
        </w:trPr>
        <w:tc>
          <w:tcPr>
            <w:tcW w:w="230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831,080</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167,392</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348,374</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149,005</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156,015</w:t>
            </w:r>
          </w:p>
        </w:tc>
        <w:tc>
          <w:tcPr>
            <w:tcW w:w="1100" w:type="dxa"/>
            <w:vAlign w:val="bottom"/>
          </w:tcPr>
          <w:p>
            <w:pPr>
              <w:jc w:val="right"/>
              <w:spacing w:after="0"/>
              <w:rPr>
                <w:sz w:val="20"/>
                <w:szCs w:val="20"/>
                <w:color w:val="auto"/>
              </w:rPr>
            </w:pPr>
            <w:r>
              <w:rPr>
                <w:rFonts w:ascii="Arial" w:cs="Arial" w:eastAsia="Arial" w:hAnsi="Arial"/>
                <w:sz w:val="18"/>
                <w:szCs w:val="18"/>
                <w:color w:val="auto"/>
              </w:rPr>
              <w:t>216,131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43180</wp:posOffset>
            </wp:positionV>
            <wp:extent cx="649668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496685" cy="8255"/>
                    </a:xfrm>
                    <a:prstGeom prst="rect">
                      <a:avLst/>
                    </a:prstGeom>
                    <a:noFill/>
                  </pic:spPr>
                </pic:pic>
              </a:graphicData>
            </a:graphic>
          </wp:anchor>
        </w:drawing>
      </w:r>
    </w:p>
    <w:p>
      <w:pPr>
        <w:spacing w:after="0" w:line="123" w:lineRule="exact"/>
        <w:rPr>
          <w:sz w:val="20"/>
          <w:szCs w:val="20"/>
          <w:color w:val="auto"/>
        </w:rPr>
      </w:pPr>
    </w:p>
    <w:p>
      <w:pPr>
        <w:ind w:left="1140" w:hanging="545"/>
        <w:spacing w:after="0"/>
        <w:tabs>
          <w:tab w:leader="none" w:pos="114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included as Perquisites and Other Personal Benefits are described in the table below.</w:t>
      </w:r>
    </w:p>
    <w:p>
      <w:pPr>
        <w:spacing w:after="0" w:line="73" w:lineRule="exact"/>
        <w:rPr>
          <w:rFonts w:ascii="Arial" w:cs="Arial" w:eastAsia="Arial" w:hAnsi="Arial"/>
          <w:sz w:val="18"/>
          <w:szCs w:val="18"/>
          <w:i w:val="1"/>
          <w:iCs w:val="1"/>
          <w:color w:val="auto"/>
        </w:rPr>
      </w:pPr>
    </w:p>
    <w:p>
      <w:pPr>
        <w:ind w:left="1140" w:hanging="545"/>
        <w:spacing w:after="0"/>
        <w:tabs>
          <w:tab w:leader="none" w:pos="114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employer contributions to tax-qualified and non-tax-qualified savings and retirement plans during 2019.</w:t>
      </w:r>
    </w:p>
    <w:p>
      <w:pPr>
        <w:spacing w:after="0" w:line="73" w:lineRule="exact"/>
        <w:rPr>
          <w:rFonts w:ascii="Arial" w:cs="Arial" w:eastAsia="Arial" w:hAnsi="Arial"/>
          <w:sz w:val="18"/>
          <w:szCs w:val="18"/>
          <w:i w:val="1"/>
          <w:iCs w:val="1"/>
          <w:color w:val="auto"/>
        </w:rPr>
      </w:pPr>
    </w:p>
    <w:p>
      <w:pPr>
        <w:jc w:val="both"/>
        <w:ind w:left="1140" w:right="20" w:hanging="545"/>
        <w:spacing w:after="0" w:line="246" w:lineRule="auto"/>
        <w:tabs>
          <w:tab w:leader="none" w:pos="114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premiums paid by the Company for Group Variable Universal Life insurance for executives. Executives are responsible for any ordinary income taxes resulting from the cost of the GM-paid premiums. For Ms. Barra, amounts also include the Company’s cost of premiums for providing personal accident insurance for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63</w:t>
      </w:r>
    </w:p>
    <w:p>
      <w:pPr>
        <w:sectPr>
          <w:pgSz w:w="11900" w:h="16838" w:orient="portrait"/>
          <w:cols w:equalWidth="0" w:num="1">
            <w:col w:w="11100"/>
          </w:cols>
          <w:pgMar w:left="320" w:top="456"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20"/>
          <w:szCs w:val="20"/>
          <w:color w:val="00A1DF"/>
        </w:rPr>
        <w:t>Perquisites and Other Personal Benefits</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620" w:type="dxa"/>
            <w:vAlign w:val="bottom"/>
            <w:tcBorders>
              <w:top w:val="single" w:sz="8" w:color="00A1DF"/>
            </w:tcBorders>
          </w:tcPr>
          <w:p>
            <w:pPr>
              <w:spacing w:after="0"/>
              <w:rPr>
                <w:sz w:val="17"/>
                <w:szCs w:val="17"/>
                <w:color w:val="auto"/>
              </w:rPr>
            </w:pPr>
          </w:p>
        </w:tc>
        <w:tc>
          <w:tcPr>
            <w:tcW w:w="112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M.T. Barra</w:t>
            </w:r>
          </w:p>
        </w:tc>
        <w:tc>
          <w:tcPr>
            <w:tcW w:w="160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D. Suryadevara</w:t>
            </w:r>
          </w:p>
        </w:tc>
        <w:tc>
          <w:tcPr>
            <w:tcW w:w="122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M.L. Reuss</w:t>
            </w:r>
          </w:p>
        </w:tc>
        <w:tc>
          <w:tcPr>
            <w:tcW w:w="1200" w:type="dxa"/>
            <w:vAlign w:val="bottom"/>
            <w:tcBorders>
              <w:top w:val="single" w:sz="8" w:color="00A1DF"/>
            </w:tcBorders>
          </w:tcPr>
          <w:p>
            <w:pPr>
              <w:jc w:val="right"/>
              <w:ind w:right="51"/>
              <w:spacing w:after="0" w:line="205" w:lineRule="exact"/>
              <w:rPr>
                <w:sz w:val="20"/>
                <w:szCs w:val="20"/>
                <w:color w:val="auto"/>
              </w:rPr>
            </w:pPr>
            <w:r>
              <w:rPr>
                <w:rFonts w:ascii="Arial" w:cs="Arial" w:eastAsia="Arial" w:hAnsi="Arial"/>
                <w:sz w:val="18"/>
                <w:szCs w:val="18"/>
                <w:b w:val="1"/>
                <w:bCs w:val="1"/>
                <w:color w:val="00A1DF"/>
              </w:rPr>
              <w:t>B. L. Engle</w:t>
            </w:r>
          </w:p>
        </w:tc>
        <w:tc>
          <w:tcPr>
            <w:tcW w:w="1420" w:type="dxa"/>
            <w:vAlign w:val="bottom"/>
            <w:tcBorders>
              <w:top w:val="single" w:sz="8" w:color="00A1DF"/>
            </w:tcBorders>
          </w:tcPr>
          <w:p>
            <w:pPr>
              <w:jc w:val="right"/>
              <w:ind w:right="71"/>
              <w:spacing w:after="0" w:line="205" w:lineRule="exact"/>
              <w:rPr>
                <w:sz w:val="20"/>
                <w:szCs w:val="20"/>
                <w:color w:val="auto"/>
              </w:rPr>
            </w:pPr>
            <w:r>
              <w:rPr>
                <w:rFonts w:ascii="Arial" w:cs="Arial" w:eastAsia="Arial" w:hAnsi="Arial"/>
                <w:sz w:val="18"/>
                <w:szCs w:val="18"/>
                <w:b w:val="1"/>
                <w:bCs w:val="1"/>
                <w:color w:val="00A1DF"/>
              </w:rPr>
              <w:t>C. B. Glidden</w:t>
            </w:r>
          </w:p>
        </w:tc>
        <w:tc>
          <w:tcPr>
            <w:tcW w:w="1060" w:type="dxa"/>
            <w:vAlign w:val="bottom"/>
            <w:tcBorders>
              <w:top w:val="single" w:sz="8" w:color="00A1DF"/>
            </w:tcBorders>
          </w:tcPr>
          <w:p>
            <w:pPr>
              <w:jc w:val="right"/>
              <w:spacing w:after="0" w:line="205" w:lineRule="exact"/>
              <w:rPr>
                <w:sz w:val="20"/>
                <w:szCs w:val="20"/>
                <w:color w:val="auto"/>
              </w:rPr>
            </w:pPr>
            <w:r>
              <w:rPr>
                <w:rFonts w:ascii="Arial" w:cs="Arial" w:eastAsia="Arial" w:hAnsi="Arial"/>
                <w:sz w:val="18"/>
                <w:szCs w:val="18"/>
                <w:b w:val="1"/>
                <w:bCs w:val="1"/>
                <w:color w:val="00A1DF"/>
              </w:rPr>
              <w:t>A.S. Batey</w:t>
            </w:r>
          </w:p>
        </w:tc>
      </w:tr>
      <w:tr>
        <w:trPr>
          <w:trHeight w:val="235"/>
        </w:trPr>
        <w:tc>
          <w:tcPr>
            <w:tcW w:w="262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60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00A1DF"/>
              </w:rPr>
              <w:t>($)</w:t>
            </w:r>
          </w:p>
        </w:tc>
        <w:tc>
          <w:tcPr>
            <w:tcW w:w="1420" w:type="dxa"/>
            <w:vAlign w:val="bottom"/>
          </w:tcPr>
          <w:p>
            <w:pPr>
              <w:jc w:val="right"/>
              <w:ind w:right="71"/>
              <w:spacing w:after="0"/>
              <w:rPr>
                <w:sz w:val="20"/>
                <w:szCs w:val="20"/>
                <w:color w:val="auto"/>
              </w:rPr>
            </w:pPr>
            <w:r>
              <w:rPr>
                <w:rFonts w:ascii="Arial" w:cs="Arial" w:eastAsia="Arial" w:hAnsi="Arial"/>
                <w:sz w:val="18"/>
                <w:szCs w:val="18"/>
                <w:b w:val="1"/>
                <w:bCs w:val="1"/>
                <w:color w:val="00A1DF"/>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00A1DF"/>
              </w:rPr>
              <w:t>($)</w:t>
            </w:r>
          </w:p>
        </w:tc>
      </w:tr>
      <w:tr>
        <w:trPr>
          <w:trHeight w:val="82"/>
        </w:trPr>
        <w:tc>
          <w:tcPr>
            <w:tcW w:w="2620" w:type="dxa"/>
            <w:vAlign w:val="bottom"/>
            <w:tcBorders>
              <w:bottom w:val="single" w:sz="8" w:color="00A1DF"/>
            </w:tcBorders>
          </w:tcPr>
          <w:p>
            <w:pPr>
              <w:spacing w:after="0"/>
              <w:rPr>
                <w:sz w:val="7"/>
                <w:szCs w:val="7"/>
                <w:color w:val="auto"/>
              </w:rPr>
            </w:pPr>
          </w:p>
        </w:tc>
        <w:tc>
          <w:tcPr>
            <w:tcW w:w="1120" w:type="dxa"/>
            <w:vAlign w:val="bottom"/>
            <w:tcBorders>
              <w:bottom w:val="single" w:sz="8" w:color="00A1DF"/>
            </w:tcBorders>
          </w:tcPr>
          <w:p>
            <w:pPr>
              <w:spacing w:after="0"/>
              <w:rPr>
                <w:sz w:val="7"/>
                <w:szCs w:val="7"/>
                <w:color w:val="auto"/>
              </w:rPr>
            </w:pPr>
          </w:p>
        </w:tc>
        <w:tc>
          <w:tcPr>
            <w:tcW w:w="1600" w:type="dxa"/>
            <w:vAlign w:val="bottom"/>
            <w:tcBorders>
              <w:bottom w:val="single" w:sz="8" w:color="00A1DF"/>
            </w:tcBorders>
          </w:tcPr>
          <w:p>
            <w:pPr>
              <w:spacing w:after="0"/>
              <w:rPr>
                <w:sz w:val="7"/>
                <w:szCs w:val="7"/>
                <w:color w:val="auto"/>
              </w:rPr>
            </w:pPr>
          </w:p>
        </w:tc>
        <w:tc>
          <w:tcPr>
            <w:tcW w:w="1220" w:type="dxa"/>
            <w:vAlign w:val="bottom"/>
            <w:tcBorders>
              <w:bottom w:val="single" w:sz="8" w:color="00A1DF"/>
            </w:tcBorders>
          </w:tcPr>
          <w:p>
            <w:pPr>
              <w:spacing w:after="0"/>
              <w:rPr>
                <w:sz w:val="7"/>
                <w:szCs w:val="7"/>
                <w:color w:val="auto"/>
              </w:rPr>
            </w:pPr>
          </w:p>
        </w:tc>
        <w:tc>
          <w:tcPr>
            <w:tcW w:w="1200" w:type="dxa"/>
            <w:vAlign w:val="bottom"/>
            <w:tcBorders>
              <w:bottom w:val="single" w:sz="8" w:color="00A1DF"/>
            </w:tcBorders>
          </w:tcPr>
          <w:p>
            <w:pPr>
              <w:spacing w:after="0"/>
              <w:rPr>
                <w:sz w:val="7"/>
                <w:szCs w:val="7"/>
                <w:color w:val="auto"/>
              </w:rPr>
            </w:pPr>
          </w:p>
        </w:tc>
        <w:tc>
          <w:tcPr>
            <w:tcW w:w="1420" w:type="dxa"/>
            <w:vAlign w:val="bottom"/>
            <w:tcBorders>
              <w:bottom w:val="single" w:sz="8" w:color="00A1DF"/>
            </w:tcBorders>
          </w:tcPr>
          <w:p>
            <w:pPr>
              <w:spacing w:after="0"/>
              <w:rPr>
                <w:sz w:val="7"/>
                <w:szCs w:val="7"/>
                <w:color w:val="auto"/>
              </w:rPr>
            </w:pPr>
          </w:p>
        </w:tc>
        <w:tc>
          <w:tcPr>
            <w:tcW w:w="1060" w:type="dxa"/>
            <w:vAlign w:val="bottom"/>
            <w:tcBorders>
              <w:bottom w:val="single" w:sz="8" w:color="00A1DF"/>
            </w:tcBorders>
          </w:tcPr>
          <w:p>
            <w:pPr>
              <w:spacing w:after="0"/>
              <w:rPr>
                <w:sz w:val="7"/>
                <w:szCs w:val="7"/>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Personal Travel</w:t>
            </w:r>
            <w:r>
              <w:rPr>
                <w:rFonts w:ascii="Arial" w:cs="Arial" w:eastAsia="Arial" w:hAnsi="Arial"/>
                <w:sz w:val="15"/>
                <w:szCs w:val="15"/>
                <w:color w:val="auto"/>
              </w:rPr>
              <w:t>(1)</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199,839</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Security</w:t>
            </w:r>
            <w:r>
              <w:rPr>
                <w:rFonts w:ascii="Arial" w:cs="Arial" w:eastAsia="Arial" w:hAnsi="Arial"/>
                <w:sz w:val="15"/>
                <w:szCs w:val="15"/>
                <w:color w:val="auto"/>
              </w:rPr>
              <w:t>(2)</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87,347</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82,028</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Company Vehicle Programs</w:t>
            </w:r>
            <w:r>
              <w:rPr>
                <w:rFonts w:ascii="Arial" w:cs="Arial" w:eastAsia="Arial" w:hAnsi="Arial"/>
                <w:sz w:val="15"/>
                <w:szCs w:val="15"/>
                <w:color w:val="auto"/>
              </w:rPr>
              <w:t>(3)</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37,629</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27,325</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28,075</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22,054</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28,990</w:t>
            </w:r>
          </w:p>
        </w:tc>
        <w:tc>
          <w:tcPr>
            <w:tcW w:w="1060" w:type="dxa"/>
            <w:vAlign w:val="bottom"/>
          </w:tcPr>
          <w:p>
            <w:pPr>
              <w:jc w:val="right"/>
              <w:spacing w:after="0"/>
              <w:rPr>
                <w:sz w:val="20"/>
                <w:szCs w:val="20"/>
                <w:color w:val="auto"/>
              </w:rPr>
            </w:pPr>
            <w:r>
              <w:rPr>
                <w:rFonts w:ascii="Arial" w:cs="Arial" w:eastAsia="Arial" w:hAnsi="Arial"/>
                <w:sz w:val="18"/>
                <w:szCs w:val="18"/>
                <w:color w:val="auto"/>
              </w:rPr>
              <w:t>22,884</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Executive Physical</w:t>
            </w:r>
            <w:r>
              <w:rPr>
                <w:rFonts w:ascii="Arial" w:cs="Arial" w:eastAsia="Arial" w:hAnsi="Arial"/>
                <w:sz w:val="15"/>
                <w:szCs w:val="15"/>
                <w:color w:val="auto"/>
              </w:rPr>
              <w:t>(4)</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5,050</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4,800</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5,050</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4,800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Financial Counseling</w:t>
            </w:r>
            <w:r>
              <w:rPr>
                <w:rFonts w:ascii="Arial" w:cs="Arial" w:eastAsia="Arial" w:hAnsi="Arial"/>
                <w:sz w:val="15"/>
                <w:szCs w:val="15"/>
                <w:color w:val="auto"/>
              </w:rPr>
              <w:t>(5)</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10,360</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10,360</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10,360</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10,360</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10,360</w:t>
            </w:r>
          </w:p>
        </w:tc>
        <w:tc>
          <w:tcPr>
            <w:tcW w:w="1060" w:type="dxa"/>
            <w:vAlign w:val="bottom"/>
          </w:tcPr>
          <w:p>
            <w:pPr>
              <w:jc w:val="right"/>
              <w:spacing w:after="0"/>
              <w:rPr>
                <w:sz w:val="20"/>
                <w:szCs w:val="20"/>
                <w:color w:val="auto"/>
              </w:rPr>
            </w:pPr>
            <w:r>
              <w:rPr>
                <w:rFonts w:ascii="Arial" w:cs="Arial" w:eastAsia="Arial" w:hAnsi="Arial"/>
                <w:sz w:val="18"/>
                <w:szCs w:val="18"/>
                <w:color w:val="auto"/>
              </w:rPr>
              <w:t>10,360</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(6)</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26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340,225</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37,685</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125,263</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37,464</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44,150</w:t>
            </w:r>
          </w:p>
        </w:tc>
        <w:tc>
          <w:tcPr>
            <w:tcW w:w="1060" w:type="dxa"/>
            <w:vAlign w:val="bottom"/>
          </w:tcPr>
          <w:p>
            <w:pPr>
              <w:jc w:val="right"/>
              <w:spacing w:after="0"/>
              <w:rPr>
                <w:sz w:val="20"/>
                <w:szCs w:val="20"/>
                <w:color w:val="auto"/>
              </w:rPr>
            </w:pPr>
            <w:r>
              <w:rPr>
                <w:rFonts w:ascii="Arial" w:cs="Arial" w:eastAsia="Arial" w:hAnsi="Arial"/>
                <w:sz w:val="18"/>
                <w:szCs w:val="18"/>
                <w:color w:val="auto"/>
              </w:rPr>
              <w:t>33,244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43180</wp:posOffset>
            </wp:positionV>
            <wp:extent cx="65049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504940" cy="8255"/>
                    </a:xfrm>
                    <a:prstGeom prst="rect">
                      <a:avLst/>
                    </a:prstGeom>
                    <a:noFill/>
                  </pic:spPr>
                </pic:pic>
              </a:graphicData>
            </a:graphic>
          </wp:anchor>
        </w:drawing>
      </w:r>
    </w:p>
    <w:p>
      <w:pPr>
        <w:spacing w:after="0" w:line="123" w:lineRule="exact"/>
        <w:rPr>
          <w:sz w:val="20"/>
          <w:szCs w:val="20"/>
          <w:color w:val="auto"/>
        </w:rPr>
      </w:pPr>
    </w:p>
    <w:p>
      <w:pPr>
        <w:jc w:val="both"/>
        <w:ind w:left="1140" w:hanging="545"/>
        <w:spacing w:after="0" w:line="239" w:lineRule="auto"/>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Personal travel, pursuant to Company policy as discussed on page 46 of this Proxy Statement, includes incremental costs (fuel, flight crew expenses, landing fees, ground transportation fees, and other miscellaneous variable expenses) associated with aircraft use. Ms. Barra serves on outside boards which we view as directly and integrally related to her role as Chairman and CEO and her professional development. The cost of travel to outside boards for 2019 was $216,607 and is excluded from the amount above.</w:t>
      </w:r>
    </w:p>
    <w:p>
      <w:pPr>
        <w:spacing w:after="0" w:line="52" w:lineRule="exact"/>
        <w:rPr>
          <w:rFonts w:ascii="Arial" w:cs="Arial" w:eastAsia="Arial" w:hAnsi="Arial"/>
          <w:sz w:val="18"/>
          <w:szCs w:val="18"/>
          <w:i w:val="1"/>
          <w:iCs w:val="1"/>
          <w:color w:val="auto"/>
        </w:rPr>
      </w:pPr>
    </w:p>
    <w:p>
      <w:pPr>
        <w:jc w:val="both"/>
        <w:ind w:left="1140" w:hanging="545"/>
        <w:spacing w:after="0" w:line="242" w:lineRule="auto"/>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Amounts include the incremental cost of providing security services and residential security system monitoring for Ms. Barra and Mr. Reuss as recommended by an independent third-party security consultant.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47" w:lineRule="exact"/>
        <w:rPr>
          <w:rFonts w:ascii="Arial" w:cs="Arial" w:eastAsia="Arial" w:hAnsi="Arial"/>
          <w:sz w:val="18"/>
          <w:szCs w:val="18"/>
          <w:i w:val="1"/>
          <w:iCs w:val="1"/>
          <w:color w:val="auto"/>
        </w:rPr>
      </w:pPr>
    </w:p>
    <w:p>
      <w:pPr>
        <w:jc w:val="both"/>
        <w:ind w:left="1140" w:hanging="545"/>
        <w:spacing w:after="0" w:line="239" w:lineRule="auto"/>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cost of providing cars, drivers, and the estimated annual lease value of the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52" w:lineRule="exact"/>
        <w:rPr>
          <w:rFonts w:ascii="Arial" w:cs="Arial" w:eastAsia="Arial" w:hAnsi="Arial"/>
          <w:sz w:val="18"/>
          <w:szCs w:val="18"/>
          <w:i w:val="1"/>
          <w:iCs w:val="1"/>
          <w:color w:val="auto"/>
        </w:rPr>
      </w:pPr>
    </w:p>
    <w:p>
      <w:pPr>
        <w:ind w:left="1140" w:hanging="545"/>
        <w:spacing w:after="0"/>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executive physicals with our approved provider.</w:t>
      </w:r>
    </w:p>
    <w:p>
      <w:pPr>
        <w:spacing w:after="0" w:line="73" w:lineRule="exact"/>
        <w:rPr>
          <w:rFonts w:ascii="Arial" w:cs="Arial" w:eastAsia="Arial" w:hAnsi="Arial"/>
          <w:sz w:val="18"/>
          <w:szCs w:val="18"/>
          <w:i w:val="1"/>
          <w:iCs w:val="1"/>
          <w:color w:val="auto"/>
        </w:rPr>
      </w:pPr>
    </w:p>
    <w:p>
      <w:pPr>
        <w:ind w:left="1140" w:hanging="545"/>
        <w:spacing w:after="0"/>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financial counseling and estate planning services with our approved provider.</w:t>
      </w:r>
    </w:p>
    <w:p>
      <w:pPr>
        <w:spacing w:after="0" w:line="73" w:lineRule="exact"/>
        <w:rPr>
          <w:rFonts w:ascii="Arial" w:cs="Arial" w:eastAsia="Arial" w:hAnsi="Arial"/>
          <w:sz w:val="18"/>
          <w:szCs w:val="18"/>
          <w:i w:val="1"/>
          <w:iCs w:val="1"/>
          <w:color w:val="auto"/>
        </w:rPr>
      </w:pPr>
    </w:p>
    <w:p>
      <w:pPr>
        <w:jc w:val="both"/>
        <w:ind w:left="1140" w:hanging="545"/>
        <w:spacing w:after="0" w:line="242" w:lineRule="auto"/>
        <w:tabs>
          <w:tab w:leader="none" w:pos="114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Occasionally unused tickets from sponsorship agreements are made available for personal use. Tickets are included in sponsorship agreements and typically result in no incremental costs to the Company. In 2019, there were no incremental costs associated with the personal use of tickets to GM-sponsored events. Occasionally, limited souvenirs may be included as part of a sponsorship agreement and no incremental costs are incurred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85090</wp:posOffset>
            </wp:positionV>
            <wp:extent cx="6793865" cy="1016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64</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08"/>
        </w:numPr>
        <w:rPr>
          <w:rFonts w:ascii="Arial" w:cs="Arial" w:eastAsia="Arial" w:hAnsi="Arial"/>
          <w:sz w:val="25"/>
          <w:szCs w:val="25"/>
          <w:color w:val="0033A0"/>
        </w:rPr>
      </w:pPr>
      <w:r>
        <w:rPr>
          <w:rFonts w:ascii="Arial" w:cs="Arial" w:eastAsia="Arial" w:hAnsi="Arial"/>
          <w:sz w:val="25"/>
          <w:szCs w:val="25"/>
          <w:color w:val="auto"/>
        </w:rPr>
        <w:t>Grants of Plan–Based Awards</w:t>
      </w:r>
    </w:p>
    <w:p>
      <w:pPr>
        <w:spacing w:after="0" w:line="149"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auto"/>
        </w:rPr>
        <w:t>STIP awards for the 2019 performance year were made under the terms of the 2017 STIP. PSU and Stock Option grants were made to each NEO under the terms of the 2017 LTIP. PSUs vest and deliver at the end of the performance period and will be earned at a level between 0% and 200% of target. PSUs are based on the achievement of performance conditions relating to Relative ROIC-adjusted and Relative TSR over a three-year performance period from January 1, 2019, to December 31, 2021. The Stock Options vest ratably over a three-year period.</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41"/>
        </w:trPr>
        <w:tc>
          <w:tcPr>
            <w:tcW w:w="1460" w:type="dxa"/>
            <w:vAlign w:val="bottom"/>
            <w:tcBorders>
              <w:top w:val="single" w:sz="8" w:color="00A1DF"/>
            </w:tcBorders>
          </w:tcPr>
          <w:p>
            <w:pPr>
              <w:spacing w:after="0"/>
              <w:rPr>
                <w:sz w:val="12"/>
                <w:szCs w:val="12"/>
                <w:color w:val="auto"/>
              </w:rPr>
            </w:pPr>
          </w:p>
        </w:tc>
        <w:tc>
          <w:tcPr>
            <w:tcW w:w="640" w:type="dxa"/>
            <w:vAlign w:val="bottom"/>
            <w:tcBorders>
              <w:top w:val="single" w:sz="8" w:color="00A1DF"/>
            </w:tcBorders>
          </w:tcPr>
          <w:p>
            <w:pPr>
              <w:spacing w:after="0"/>
              <w:rPr>
                <w:sz w:val="12"/>
                <w:szCs w:val="12"/>
                <w:color w:val="auto"/>
              </w:rPr>
            </w:pPr>
          </w:p>
        </w:tc>
        <w:tc>
          <w:tcPr>
            <w:tcW w:w="720" w:type="dxa"/>
            <w:vAlign w:val="bottom"/>
            <w:tcBorders>
              <w:top w:val="single" w:sz="8" w:color="00A1DF"/>
            </w:tcBorders>
          </w:tcPr>
          <w:p>
            <w:pPr>
              <w:spacing w:after="0"/>
              <w:rPr>
                <w:sz w:val="12"/>
                <w:szCs w:val="12"/>
                <w:color w:val="auto"/>
              </w:rPr>
            </w:pPr>
          </w:p>
        </w:tc>
        <w:tc>
          <w:tcPr>
            <w:tcW w:w="680" w:type="dxa"/>
            <w:vAlign w:val="bottom"/>
            <w:tcBorders>
              <w:top w:val="single" w:sz="8" w:color="00A1DF"/>
            </w:tcBorders>
          </w:tcPr>
          <w:p>
            <w:pPr>
              <w:spacing w:after="0"/>
              <w:rPr>
                <w:sz w:val="12"/>
                <w:szCs w:val="12"/>
                <w:color w:val="auto"/>
              </w:rPr>
            </w:pPr>
          </w:p>
        </w:tc>
        <w:tc>
          <w:tcPr>
            <w:tcW w:w="2300" w:type="dxa"/>
            <w:vAlign w:val="bottom"/>
            <w:tcBorders>
              <w:top w:val="single" w:sz="8" w:color="00A1DF"/>
            </w:tcBorders>
            <w:gridSpan w:val="3"/>
            <w:vMerge w:val="restart"/>
          </w:tcPr>
          <w:p>
            <w:pPr>
              <w:jc w:val="center"/>
              <w:spacing w:after="0"/>
              <w:rPr>
                <w:sz w:val="20"/>
                <w:szCs w:val="20"/>
                <w:color w:val="auto"/>
              </w:rPr>
            </w:pPr>
            <w:r>
              <w:rPr>
                <w:rFonts w:ascii="Arial" w:cs="Arial" w:eastAsia="Arial" w:hAnsi="Arial"/>
                <w:sz w:val="12"/>
                <w:szCs w:val="12"/>
                <w:b w:val="1"/>
                <w:bCs w:val="1"/>
                <w:color w:val="00A1DF"/>
              </w:rPr>
              <w:t>Estimated Future Payouts</w:t>
            </w:r>
          </w:p>
        </w:tc>
        <w:tc>
          <w:tcPr>
            <w:tcW w:w="2080" w:type="dxa"/>
            <w:vAlign w:val="bottom"/>
            <w:tcBorders>
              <w:top w:val="single" w:sz="8" w:color="00A1DF"/>
            </w:tcBorders>
            <w:gridSpan w:val="3"/>
            <w:vMerge w:val="restart"/>
          </w:tcPr>
          <w:p>
            <w:pPr>
              <w:jc w:val="center"/>
              <w:spacing w:after="0"/>
              <w:rPr>
                <w:sz w:val="20"/>
                <w:szCs w:val="20"/>
                <w:color w:val="auto"/>
              </w:rPr>
            </w:pPr>
            <w:r>
              <w:rPr>
                <w:rFonts w:ascii="Arial" w:cs="Arial" w:eastAsia="Arial" w:hAnsi="Arial"/>
                <w:sz w:val="12"/>
                <w:szCs w:val="12"/>
                <w:b w:val="1"/>
                <w:bCs w:val="1"/>
                <w:color w:val="00A1DF"/>
              </w:rPr>
              <w:t>Estimated Future Payouts</w:t>
            </w:r>
          </w:p>
        </w:tc>
        <w:tc>
          <w:tcPr>
            <w:tcW w:w="780" w:type="dxa"/>
            <w:vAlign w:val="bottom"/>
            <w:tcBorders>
              <w:top w:val="single" w:sz="8" w:color="00A1DF"/>
            </w:tcBorders>
          </w:tcPr>
          <w:p>
            <w:pPr>
              <w:jc w:val="center"/>
              <w:spacing w:after="0"/>
              <w:rPr>
                <w:sz w:val="20"/>
                <w:szCs w:val="20"/>
                <w:color w:val="auto"/>
              </w:rPr>
            </w:pPr>
            <w:r>
              <w:rPr>
                <w:rFonts w:ascii="Arial" w:cs="Arial" w:eastAsia="Arial" w:hAnsi="Arial"/>
                <w:sz w:val="12"/>
                <w:szCs w:val="12"/>
                <w:b w:val="1"/>
                <w:bCs w:val="1"/>
                <w:color w:val="00A1DF"/>
              </w:rPr>
              <w:t>All Other</w:t>
            </w:r>
          </w:p>
        </w:tc>
        <w:tc>
          <w:tcPr>
            <w:tcW w:w="780" w:type="dxa"/>
            <w:vAlign w:val="bottom"/>
            <w:tcBorders>
              <w:top w:val="single" w:sz="8" w:color="00A1DF"/>
            </w:tcBorders>
          </w:tcPr>
          <w:p>
            <w:pPr>
              <w:jc w:val="center"/>
              <w:spacing w:after="0"/>
              <w:rPr>
                <w:sz w:val="20"/>
                <w:szCs w:val="20"/>
                <w:color w:val="auto"/>
              </w:rPr>
            </w:pPr>
            <w:r>
              <w:rPr>
                <w:rFonts w:ascii="Arial" w:cs="Arial" w:eastAsia="Arial" w:hAnsi="Arial"/>
                <w:sz w:val="12"/>
                <w:szCs w:val="12"/>
                <w:b w:val="1"/>
                <w:bCs w:val="1"/>
                <w:color w:val="00A1DF"/>
              </w:rPr>
              <w:t>All Other</w:t>
            </w:r>
          </w:p>
        </w:tc>
        <w:tc>
          <w:tcPr>
            <w:tcW w:w="640" w:type="dxa"/>
            <w:vAlign w:val="bottom"/>
            <w:tcBorders>
              <w:top w:val="single" w:sz="8" w:color="00A1DF"/>
            </w:tcBorders>
          </w:tcPr>
          <w:p>
            <w:pPr>
              <w:spacing w:after="0"/>
              <w:rPr>
                <w:sz w:val="12"/>
                <w:szCs w:val="12"/>
                <w:color w:val="auto"/>
              </w:rPr>
            </w:pPr>
          </w:p>
        </w:tc>
        <w:tc>
          <w:tcPr>
            <w:tcW w:w="840" w:type="dxa"/>
            <w:vAlign w:val="bottom"/>
            <w:tcBorders>
              <w:top w:val="single" w:sz="8" w:color="00A1DF"/>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Stock</w:t>
            </w: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Option</w:t>
            </w:r>
          </w:p>
        </w:tc>
        <w:tc>
          <w:tcPr>
            <w:tcW w:w="640" w:type="dxa"/>
            <w:vAlign w:val="bottom"/>
            <w:vMerge w:val="restart"/>
          </w:tcPr>
          <w:p>
            <w:pPr>
              <w:jc w:val="right"/>
              <w:spacing w:after="0" w:line="134" w:lineRule="exact"/>
              <w:rPr>
                <w:sz w:val="20"/>
                <w:szCs w:val="20"/>
                <w:color w:val="auto"/>
              </w:rPr>
            </w:pPr>
            <w:r>
              <w:rPr>
                <w:rFonts w:ascii="Arial" w:cs="Arial" w:eastAsia="Arial" w:hAnsi="Arial"/>
                <w:sz w:val="12"/>
                <w:szCs w:val="12"/>
                <w:b w:val="1"/>
                <w:bCs w:val="1"/>
                <w:color w:val="00A1DF"/>
              </w:rPr>
              <w:t>Exercise</w:t>
            </w: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300" w:type="dxa"/>
            <w:vAlign w:val="bottom"/>
            <w:gridSpan w:val="3"/>
            <w:vMerge w:val="restart"/>
          </w:tcPr>
          <w:p>
            <w:pPr>
              <w:jc w:val="center"/>
              <w:spacing w:after="0" w:line="134" w:lineRule="exact"/>
              <w:rPr>
                <w:sz w:val="20"/>
                <w:szCs w:val="20"/>
                <w:color w:val="auto"/>
              </w:rPr>
            </w:pPr>
            <w:r>
              <w:rPr>
                <w:rFonts w:ascii="Arial" w:cs="Arial" w:eastAsia="Arial" w:hAnsi="Arial"/>
                <w:sz w:val="12"/>
                <w:szCs w:val="12"/>
                <w:b w:val="1"/>
                <w:bCs w:val="1"/>
                <w:color w:val="00A1DF"/>
              </w:rPr>
              <w:t>Under Non-Equity Incentive</w:t>
            </w:r>
          </w:p>
        </w:tc>
        <w:tc>
          <w:tcPr>
            <w:tcW w:w="2080" w:type="dxa"/>
            <w:vAlign w:val="bottom"/>
            <w:gridSpan w:val="3"/>
            <w:vMerge w:val="restart"/>
          </w:tcPr>
          <w:p>
            <w:pPr>
              <w:jc w:val="center"/>
              <w:spacing w:after="0" w:line="134" w:lineRule="exact"/>
              <w:rPr>
                <w:sz w:val="20"/>
                <w:szCs w:val="20"/>
                <w:color w:val="auto"/>
              </w:rPr>
            </w:pPr>
            <w:r>
              <w:rPr>
                <w:rFonts w:ascii="Arial" w:cs="Arial" w:eastAsia="Arial" w:hAnsi="Arial"/>
                <w:sz w:val="12"/>
                <w:szCs w:val="12"/>
                <w:b w:val="1"/>
                <w:bCs w:val="1"/>
                <w:color w:val="00A1DF"/>
              </w:rPr>
              <w:t>Under Equity Incentive</w:t>
            </w: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Awards:</w:t>
            </w: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Awards:</w:t>
            </w:r>
          </w:p>
        </w:tc>
        <w:tc>
          <w:tcPr>
            <w:tcW w:w="6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or Base</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Grant Date</w:t>
            </w:r>
          </w:p>
        </w:tc>
        <w:tc>
          <w:tcPr>
            <w:tcW w:w="0" w:type="dxa"/>
            <w:vAlign w:val="bottom"/>
          </w:tcPr>
          <w:p>
            <w:pPr>
              <w:spacing w:after="0"/>
              <w:rPr>
                <w:sz w:val="1"/>
                <w:szCs w:val="1"/>
                <w:color w:val="auto"/>
              </w:rPr>
            </w:pPr>
          </w:p>
        </w:tc>
      </w:tr>
      <w:tr>
        <w:trPr>
          <w:trHeight w:val="53"/>
        </w:trPr>
        <w:tc>
          <w:tcPr>
            <w:tcW w:w="1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00A1DF"/>
              </w:rPr>
              <w:t>Plan Awards</w:t>
            </w:r>
          </w:p>
        </w:tc>
        <w:tc>
          <w:tcPr>
            <w:tcW w:w="720" w:type="dxa"/>
            <w:vAlign w:val="bottom"/>
          </w:tcPr>
          <w:p>
            <w:pPr>
              <w:spacing w:after="0"/>
              <w:rPr>
                <w:sz w:val="4"/>
                <w:szCs w:val="4"/>
                <w:color w:val="auto"/>
              </w:rPr>
            </w:pPr>
          </w:p>
        </w:tc>
        <w:tc>
          <w:tcPr>
            <w:tcW w:w="1440" w:type="dxa"/>
            <w:vAlign w:val="bottom"/>
            <w:gridSpan w:val="2"/>
            <w:vMerge w:val="restart"/>
          </w:tcPr>
          <w:p>
            <w:pPr>
              <w:jc w:val="center"/>
              <w:ind w:left="558"/>
              <w:spacing w:after="0"/>
              <w:rPr>
                <w:sz w:val="20"/>
                <w:szCs w:val="20"/>
                <w:color w:val="auto"/>
              </w:rPr>
            </w:pPr>
            <w:r>
              <w:rPr>
                <w:rFonts w:ascii="Arial" w:cs="Arial" w:eastAsia="Arial" w:hAnsi="Arial"/>
                <w:sz w:val="12"/>
                <w:szCs w:val="12"/>
                <w:b w:val="1"/>
                <w:bCs w:val="1"/>
                <w:color w:val="00A1DF"/>
              </w:rPr>
              <w:t>Plan Awards</w:t>
            </w: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1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Number of</w:t>
            </w: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Number of</w:t>
            </w:r>
          </w:p>
        </w:tc>
        <w:tc>
          <w:tcPr>
            <w:tcW w:w="6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Price of</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Fair Value</w:t>
            </w:r>
          </w:p>
        </w:tc>
        <w:tc>
          <w:tcPr>
            <w:tcW w:w="0" w:type="dxa"/>
            <w:vAlign w:val="bottom"/>
          </w:tcPr>
          <w:p>
            <w:pPr>
              <w:spacing w:after="0"/>
              <w:rPr>
                <w:sz w:val="1"/>
                <w:szCs w:val="1"/>
                <w:color w:val="auto"/>
              </w:rPr>
            </w:pPr>
          </w:p>
        </w:tc>
      </w:tr>
      <w:tr>
        <w:trPr>
          <w:trHeight w:val="24"/>
        </w:trPr>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1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Borders>
              <w:bottom w:val="single" w:sz="8" w:color="00A1DF"/>
            </w:tcBorders>
          </w:tcPr>
          <w:p>
            <w:pPr>
              <w:spacing w:after="0"/>
              <w:rPr>
                <w:sz w:val="5"/>
                <w:szCs w:val="5"/>
                <w:color w:val="auto"/>
              </w:rPr>
            </w:pPr>
          </w:p>
        </w:tc>
        <w:tc>
          <w:tcPr>
            <w:tcW w:w="820" w:type="dxa"/>
            <w:vAlign w:val="bottom"/>
            <w:tcBorders>
              <w:bottom w:val="single" w:sz="8" w:color="00A1DF"/>
            </w:tcBorders>
          </w:tcPr>
          <w:p>
            <w:pPr>
              <w:spacing w:after="0"/>
              <w:rPr>
                <w:sz w:val="5"/>
                <w:szCs w:val="5"/>
                <w:color w:val="auto"/>
              </w:rPr>
            </w:pPr>
          </w:p>
        </w:tc>
        <w:tc>
          <w:tcPr>
            <w:tcW w:w="720" w:type="dxa"/>
            <w:vAlign w:val="bottom"/>
            <w:tcBorders>
              <w:bottom w:val="single" w:sz="8" w:color="00A1DF"/>
            </w:tcBorders>
          </w:tcPr>
          <w:p>
            <w:pPr>
              <w:spacing w:after="0"/>
              <w:rPr>
                <w:sz w:val="5"/>
                <w:szCs w:val="5"/>
                <w:color w:val="auto"/>
              </w:rPr>
            </w:pPr>
          </w:p>
        </w:tc>
        <w:tc>
          <w:tcPr>
            <w:tcW w:w="760" w:type="dxa"/>
            <w:vAlign w:val="bottom"/>
            <w:tcBorders>
              <w:bottom w:val="single" w:sz="8" w:color="00A1DF"/>
            </w:tcBorders>
          </w:tcPr>
          <w:p>
            <w:pPr>
              <w:spacing w:after="0"/>
              <w:rPr>
                <w:sz w:val="5"/>
                <w:szCs w:val="5"/>
                <w:color w:val="auto"/>
              </w:rPr>
            </w:pPr>
          </w:p>
        </w:tc>
        <w:tc>
          <w:tcPr>
            <w:tcW w:w="680" w:type="dxa"/>
            <w:vAlign w:val="bottom"/>
            <w:tcBorders>
              <w:bottom w:val="single" w:sz="8" w:color="00A1DF"/>
            </w:tcBorders>
          </w:tcPr>
          <w:p>
            <w:pPr>
              <w:spacing w:after="0"/>
              <w:rPr>
                <w:sz w:val="5"/>
                <w:szCs w:val="5"/>
                <w:color w:val="auto"/>
              </w:rPr>
            </w:pPr>
          </w:p>
        </w:tc>
        <w:tc>
          <w:tcPr>
            <w:tcW w:w="640" w:type="dxa"/>
            <w:vAlign w:val="bottom"/>
            <w:tcBorders>
              <w:bottom w:val="single" w:sz="8" w:color="00A1DF"/>
            </w:tcBorders>
          </w:tcPr>
          <w:p>
            <w:pPr>
              <w:spacing w:after="0"/>
              <w:rPr>
                <w:sz w:val="5"/>
                <w:szCs w:val="5"/>
                <w:color w:val="auto"/>
              </w:rPr>
            </w:pP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Shares of</w:t>
            </w:r>
          </w:p>
        </w:tc>
        <w:tc>
          <w:tcPr>
            <w:tcW w:w="7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Securities</w:t>
            </w:r>
          </w:p>
        </w:tc>
        <w:tc>
          <w:tcPr>
            <w:tcW w:w="6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Option</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A1DF"/>
              </w:rPr>
              <w:t>of Stock</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460" w:type="dxa"/>
            <w:vAlign w:val="bottom"/>
          </w:tcPr>
          <w:p>
            <w:pPr>
              <w:spacing w:after="0"/>
              <w:rPr>
                <w:sz w:val="11"/>
                <w:szCs w:val="11"/>
                <w:color w:val="auto"/>
              </w:rPr>
            </w:pPr>
          </w:p>
        </w:tc>
        <w:tc>
          <w:tcPr>
            <w:tcW w:w="6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Award</w:t>
            </w:r>
          </w:p>
        </w:tc>
        <w:tc>
          <w:tcPr>
            <w:tcW w:w="72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Grant</w:t>
            </w:r>
          </w:p>
        </w:tc>
        <w:tc>
          <w:tcPr>
            <w:tcW w:w="680" w:type="dxa"/>
            <w:vAlign w:val="bottom"/>
          </w:tcPr>
          <w:p>
            <w:pPr>
              <w:jc w:val="right"/>
              <w:spacing w:after="0" w:line="134" w:lineRule="exact"/>
              <w:rPr>
                <w:sz w:val="20"/>
                <w:szCs w:val="20"/>
                <w:color w:val="auto"/>
              </w:rPr>
            </w:pPr>
            <w:r>
              <w:rPr>
                <w:rFonts w:ascii="Arial" w:cs="Arial" w:eastAsia="Arial" w:hAnsi="Arial"/>
                <w:sz w:val="12"/>
                <w:szCs w:val="12"/>
                <w:b w:val="1"/>
                <w:bCs w:val="1"/>
                <w:color w:val="00A1DF"/>
              </w:rPr>
              <w:t>Approval</w:t>
            </w:r>
          </w:p>
        </w:tc>
        <w:tc>
          <w:tcPr>
            <w:tcW w:w="760" w:type="dxa"/>
            <w:vAlign w:val="bottom"/>
          </w:tcPr>
          <w:p>
            <w:pPr>
              <w:jc w:val="right"/>
              <w:spacing w:after="0" w:line="134" w:lineRule="exact"/>
              <w:rPr>
                <w:sz w:val="20"/>
                <w:szCs w:val="20"/>
                <w:color w:val="auto"/>
              </w:rPr>
            </w:pPr>
            <w:r>
              <w:rPr>
                <w:rFonts w:ascii="Arial" w:cs="Arial" w:eastAsia="Arial" w:hAnsi="Arial"/>
                <w:sz w:val="12"/>
                <w:szCs w:val="12"/>
                <w:b w:val="1"/>
                <w:bCs w:val="1"/>
                <w:color w:val="00A1DF"/>
              </w:rPr>
              <w:t>Threshold</w:t>
            </w:r>
          </w:p>
        </w:tc>
        <w:tc>
          <w:tcPr>
            <w:tcW w:w="82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Target</w:t>
            </w:r>
          </w:p>
        </w:tc>
        <w:tc>
          <w:tcPr>
            <w:tcW w:w="720" w:type="dxa"/>
            <w:vAlign w:val="bottom"/>
          </w:tcPr>
          <w:p>
            <w:pPr>
              <w:jc w:val="right"/>
              <w:ind w:right="38"/>
              <w:spacing w:after="0" w:line="134" w:lineRule="exact"/>
              <w:rPr>
                <w:sz w:val="20"/>
                <w:szCs w:val="20"/>
                <w:color w:val="auto"/>
              </w:rPr>
            </w:pPr>
            <w:r>
              <w:rPr>
                <w:rFonts w:ascii="Arial" w:cs="Arial" w:eastAsia="Arial" w:hAnsi="Arial"/>
                <w:sz w:val="12"/>
                <w:szCs w:val="12"/>
                <w:b w:val="1"/>
                <w:bCs w:val="1"/>
                <w:color w:val="00A1DF"/>
              </w:rPr>
              <w:t>Maximum</w:t>
            </w:r>
          </w:p>
        </w:tc>
        <w:tc>
          <w:tcPr>
            <w:tcW w:w="76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Threshold</w:t>
            </w:r>
          </w:p>
        </w:tc>
        <w:tc>
          <w:tcPr>
            <w:tcW w:w="680" w:type="dxa"/>
            <w:vAlign w:val="bottom"/>
          </w:tcPr>
          <w:p>
            <w:pPr>
              <w:jc w:val="right"/>
              <w:ind w:right="78"/>
              <w:spacing w:after="0" w:line="134" w:lineRule="exact"/>
              <w:rPr>
                <w:sz w:val="20"/>
                <w:szCs w:val="20"/>
                <w:color w:val="auto"/>
              </w:rPr>
            </w:pPr>
            <w:r>
              <w:rPr>
                <w:rFonts w:ascii="Arial" w:cs="Arial" w:eastAsia="Arial" w:hAnsi="Arial"/>
                <w:sz w:val="12"/>
                <w:szCs w:val="12"/>
                <w:b w:val="1"/>
                <w:bCs w:val="1"/>
                <w:color w:val="00A1DF"/>
              </w:rPr>
              <w:t>Target</w:t>
            </w:r>
          </w:p>
        </w:tc>
        <w:tc>
          <w:tcPr>
            <w:tcW w:w="640" w:type="dxa"/>
            <w:vAlign w:val="bottom"/>
          </w:tcPr>
          <w:p>
            <w:pPr>
              <w:jc w:val="right"/>
              <w:spacing w:after="0" w:line="134" w:lineRule="exact"/>
              <w:rPr>
                <w:sz w:val="20"/>
                <w:szCs w:val="20"/>
                <w:color w:val="auto"/>
              </w:rPr>
            </w:pPr>
            <w:r>
              <w:rPr>
                <w:rFonts w:ascii="Arial" w:cs="Arial" w:eastAsia="Arial" w:hAnsi="Arial"/>
                <w:sz w:val="12"/>
                <w:szCs w:val="12"/>
                <w:b w:val="1"/>
                <w:bCs w:val="1"/>
                <w:color w:val="00A1DF"/>
              </w:rPr>
              <w:t>Maximum</w:t>
            </w: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00A1DF"/>
              </w:rPr>
              <w:t>Stock or</w:t>
            </w: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00A1DF"/>
              </w:rPr>
              <w:t>Underlying</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00A1DF"/>
              </w:rPr>
              <w:t>Awards</w:t>
            </w:r>
          </w:p>
        </w:tc>
        <w:tc>
          <w:tcPr>
            <w:tcW w:w="840" w:type="dxa"/>
            <w:vAlign w:val="bottom"/>
          </w:tcPr>
          <w:p>
            <w:pPr>
              <w:jc w:val="center"/>
              <w:spacing w:after="0" w:line="134" w:lineRule="exact"/>
              <w:rPr>
                <w:sz w:val="20"/>
                <w:szCs w:val="20"/>
                <w:color w:val="auto"/>
              </w:rPr>
            </w:pPr>
            <w:r>
              <w:rPr>
                <w:rFonts w:ascii="Arial" w:cs="Arial" w:eastAsia="Arial" w:hAnsi="Arial"/>
                <w:sz w:val="12"/>
                <w:szCs w:val="12"/>
                <w:b w:val="1"/>
                <w:bCs w:val="1"/>
                <w:color w:val="00A1DF"/>
              </w:rPr>
              <w:t>and Option</w:t>
            </w:r>
          </w:p>
        </w:tc>
        <w:tc>
          <w:tcPr>
            <w:tcW w:w="0" w:type="dxa"/>
            <w:vAlign w:val="bottom"/>
          </w:tcPr>
          <w:p>
            <w:pPr>
              <w:spacing w:after="0"/>
              <w:rPr>
                <w:sz w:val="1"/>
                <w:szCs w:val="1"/>
                <w:color w:val="auto"/>
              </w:rPr>
            </w:pPr>
          </w:p>
        </w:tc>
      </w:tr>
      <w:tr>
        <w:trPr>
          <w:trHeight w:val="176"/>
        </w:trPr>
        <w:tc>
          <w:tcPr>
            <w:tcW w:w="1460" w:type="dxa"/>
            <w:vAlign w:val="bottom"/>
          </w:tcPr>
          <w:p>
            <w:pPr>
              <w:ind w:left="80"/>
              <w:spacing w:after="0"/>
              <w:rPr>
                <w:sz w:val="20"/>
                <w:szCs w:val="20"/>
                <w:color w:val="auto"/>
              </w:rPr>
            </w:pPr>
            <w:r>
              <w:rPr>
                <w:rFonts w:ascii="Arial" w:cs="Arial" w:eastAsia="Arial" w:hAnsi="Arial"/>
                <w:sz w:val="12"/>
                <w:szCs w:val="12"/>
                <w:b w:val="1"/>
                <w:bCs w:val="1"/>
                <w:color w:val="00A1DF"/>
              </w:rPr>
              <w:t>Name</w:t>
            </w:r>
          </w:p>
        </w:tc>
        <w:tc>
          <w:tcPr>
            <w:tcW w:w="640" w:type="dxa"/>
            <w:vAlign w:val="bottom"/>
          </w:tcPr>
          <w:p>
            <w:pPr>
              <w:jc w:val="right"/>
              <w:ind w:right="18"/>
              <w:spacing w:after="0"/>
              <w:rPr>
                <w:sz w:val="20"/>
                <w:szCs w:val="20"/>
                <w:color w:val="auto"/>
              </w:rPr>
            </w:pPr>
            <w:r>
              <w:rPr>
                <w:rFonts w:ascii="Arial" w:cs="Arial" w:eastAsia="Arial" w:hAnsi="Arial"/>
                <w:sz w:val="12"/>
                <w:szCs w:val="12"/>
                <w:b w:val="1"/>
                <w:bCs w:val="1"/>
                <w:color w:val="00A1DF"/>
              </w:rPr>
              <w:t>Type</w:t>
            </w:r>
          </w:p>
        </w:tc>
        <w:tc>
          <w:tcPr>
            <w:tcW w:w="720" w:type="dxa"/>
            <w:vAlign w:val="bottom"/>
          </w:tcPr>
          <w:p>
            <w:pPr>
              <w:jc w:val="right"/>
              <w:ind w:right="18"/>
              <w:spacing w:after="0"/>
              <w:rPr>
                <w:sz w:val="20"/>
                <w:szCs w:val="20"/>
                <w:color w:val="auto"/>
              </w:rPr>
            </w:pPr>
            <w:r>
              <w:rPr>
                <w:rFonts w:ascii="Arial" w:cs="Arial" w:eastAsia="Arial" w:hAnsi="Arial"/>
                <w:sz w:val="12"/>
                <w:szCs w:val="12"/>
                <w:b w:val="1"/>
                <w:bCs w:val="1"/>
                <w:color w:val="00A1DF"/>
              </w:rPr>
              <w:t>Date</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00A1DF"/>
              </w:rPr>
              <w:t>Date</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00A1DF"/>
              </w:rPr>
              <w:t>($)</w:t>
            </w:r>
          </w:p>
        </w:tc>
        <w:tc>
          <w:tcPr>
            <w:tcW w:w="820" w:type="dxa"/>
            <w:vAlign w:val="bottom"/>
          </w:tcPr>
          <w:p>
            <w:pPr>
              <w:jc w:val="right"/>
              <w:ind w:right="58"/>
              <w:spacing w:after="0"/>
              <w:rPr>
                <w:sz w:val="20"/>
                <w:szCs w:val="20"/>
                <w:color w:val="auto"/>
              </w:rPr>
            </w:pPr>
            <w:r>
              <w:rPr>
                <w:rFonts w:ascii="Arial" w:cs="Arial" w:eastAsia="Arial" w:hAnsi="Arial"/>
                <w:sz w:val="12"/>
                <w:szCs w:val="12"/>
                <w:b w:val="1"/>
                <w:bCs w:val="1"/>
                <w:color w:val="00A1DF"/>
              </w:rPr>
              <w:t>($)</w:t>
            </w:r>
          </w:p>
        </w:tc>
        <w:tc>
          <w:tcPr>
            <w:tcW w:w="720" w:type="dxa"/>
            <w:vAlign w:val="bottom"/>
          </w:tcPr>
          <w:p>
            <w:pPr>
              <w:jc w:val="right"/>
              <w:ind w:right="38"/>
              <w:spacing w:after="0"/>
              <w:rPr>
                <w:sz w:val="20"/>
                <w:szCs w:val="20"/>
                <w:color w:val="auto"/>
              </w:rPr>
            </w:pPr>
            <w:r>
              <w:rPr>
                <w:rFonts w:ascii="Arial" w:cs="Arial" w:eastAsia="Arial" w:hAnsi="Arial"/>
                <w:sz w:val="12"/>
                <w:szCs w:val="12"/>
                <w:b w:val="1"/>
                <w:bCs w:val="1"/>
                <w:color w:val="00A1DF"/>
              </w:rPr>
              <w:t>($)</w:t>
            </w:r>
          </w:p>
        </w:tc>
        <w:tc>
          <w:tcPr>
            <w:tcW w:w="760" w:type="dxa"/>
            <w:vAlign w:val="bottom"/>
          </w:tcPr>
          <w:p>
            <w:pPr>
              <w:jc w:val="right"/>
              <w:ind w:right="18"/>
              <w:spacing w:after="0"/>
              <w:rPr>
                <w:sz w:val="20"/>
                <w:szCs w:val="20"/>
                <w:color w:val="auto"/>
              </w:rPr>
            </w:pPr>
            <w:r>
              <w:rPr>
                <w:rFonts w:ascii="Arial" w:cs="Arial" w:eastAsia="Arial" w:hAnsi="Arial"/>
                <w:sz w:val="12"/>
                <w:szCs w:val="12"/>
                <w:b w:val="1"/>
                <w:bCs w:val="1"/>
                <w:color w:val="00A1DF"/>
              </w:rPr>
              <w:t>(#)</w:t>
            </w:r>
          </w:p>
        </w:tc>
        <w:tc>
          <w:tcPr>
            <w:tcW w:w="680" w:type="dxa"/>
            <w:vAlign w:val="bottom"/>
          </w:tcPr>
          <w:p>
            <w:pPr>
              <w:jc w:val="right"/>
              <w:ind w:right="78"/>
              <w:spacing w:after="0"/>
              <w:rPr>
                <w:sz w:val="20"/>
                <w:szCs w:val="20"/>
                <w:color w:val="auto"/>
              </w:rPr>
            </w:pPr>
            <w:r>
              <w:rPr>
                <w:rFonts w:ascii="Arial" w:cs="Arial" w:eastAsia="Arial" w:hAnsi="Arial"/>
                <w:sz w:val="12"/>
                <w:szCs w:val="12"/>
                <w:b w:val="1"/>
                <w:bCs w:val="1"/>
                <w:color w:val="00A1DF"/>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00A1DF"/>
              </w:rPr>
              <w: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00A1DF"/>
              </w:rPr>
              <w:t>Units (#)</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00A1DF"/>
              </w:rPr>
              <w:t>Options (#)</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00A1DF"/>
              </w:rPr>
              <w:t>($/share)</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00A1DF"/>
              </w:rPr>
              <w:t>Awards($)</w:t>
            </w:r>
            <w:r>
              <w:rPr>
                <w:rFonts w:ascii="Arial" w:cs="Arial" w:eastAsia="Arial" w:hAnsi="Arial"/>
                <w:sz w:val="10"/>
                <w:szCs w:val="10"/>
                <w:b w:val="1"/>
                <w:bCs w:val="1"/>
                <w:color w:val="00A1DF"/>
              </w:rPr>
              <w:t>(1)</w:t>
            </w:r>
          </w:p>
        </w:tc>
        <w:tc>
          <w:tcPr>
            <w:tcW w:w="0" w:type="dxa"/>
            <w:vAlign w:val="bottom"/>
          </w:tcPr>
          <w:p>
            <w:pPr>
              <w:spacing w:after="0"/>
              <w:rPr>
                <w:sz w:val="1"/>
                <w:szCs w:val="1"/>
                <w:color w:val="auto"/>
              </w:rPr>
            </w:pPr>
          </w:p>
        </w:tc>
      </w:tr>
      <w:tr>
        <w:trPr>
          <w:trHeight w:val="71"/>
        </w:trPr>
        <w:tc>
          <w:tcPr>
            <w:tcW w:w="1460" w:type="dxa"/>
            <w:vAlign w:val="bottom"/>
            <w:tcBorders>
              <w:bottom w:val="single" w:sz="8" w:color="00A1DF"/>
            </w:tcBorders>
          </w:tcPr>
          <w:p>
            <w:pPr>
              <w:spacing w:after="0"/>
              <w:rPr>
                <w:sz w:val="6"/>
                <w:szCs w:val="6"/>
                <w:color w:val="auto"/>
              </w:rPr>
            </w:pPr>
          </w:p>
        </w:tc>
        <w:tc>
          <w:tcPr>
            <w:tcW w:w="640" w:type="dxa"/>
            <w:vAlign w:val="bottom"/>
            <w:tcBorders>
              <w:bottom w:val="single" w:sz="8" w:color="00A1DF"/>
            </w:tcBorders>
          </w:tcPr>
          <w:p>
            <w:pPr>
              <w:spacing w:after="0"/>
              <w:rPr>
                <w:sz w:val="6"/>
                <w:szCs w:val="6"/>
                <w:color w:val="auto"/>
              </w:rPr>
            </w:pPr>
          </w:p>
        </w:tc>
        <w:tc>
          <w:tcPr>
            <w:tcW w:w="720" w:type="dxa"/>
            <w:vAlign w:val="bottom"/>
            <w:tcBorders>
              <w:bottom w:val="single" w:sz="8" w:color="00A1DF"/>
            </w:tcBorders>
          </w:tcPr>
          <w:p>
            <w:pPr>
              <w:spacing w:after="0"/>
              <w:rPr>
                <w:sz w:val="6"/>
                <w:szCs w:val="6"/>
                <w:color w:val="auto"/>
              </w:rPr>
            </w:pPr>
          </w:p>
        </w:tc>
        <w:tc>
          <w:tcPr>
            <w:tcW w:w="680" w:type="dxa"/>
            <w:vAlign w:val="bottom"/>
            <w:tcBorders>
              <w:bottom w:val="single" w:sz="8" w:color="00A1DF"/>
            </w:tcBorders>
          </w:tcPr>
          <w:p>
            <w:pPr>
              <w:spacing w:after="0"/>
              <w:rPr>
                <w:sz w:val="6"/>
                <w:szCs w:val="6"/>
                <w:color w:val="auto"/>
              </w:rPr>
            </w:pPr>
          </w:p>
        </w:tc>
        <w:tc>
          <w:tcPr>
            <w:tcW w:w="760" w:type="dxa"/>
            <w:vAlign w:val="bottom"/>
            <w:tcBorders>
              <w:bottom w:val="single" w:sz="8" w:color="00A1DF"/>
            </w:tcBorders>
          </w:tcPr>
          <w:p>
            <w:pPr>
              <w:spacing w:after="0"/>
              <w:rPr>
                <w:sz w:val="6"/>
                <w:szCs w:val="6"/>
                <w:color w:val="auto"/>
              </w:rPr>
            </w:pPr>
          </w:p>
        </w:tc>
        <w:tc>
          <w:tcPr>
            <w:tcW w:w="820" w:type="dxa"/>
            <w:vAlign w:val="bottom"/>
            <w:tcBorders>
              <w:bottom w:val="single" w:sz="8" w:color="00A1DF"/>
            </w:tcBorders>
          </w:tcPr>
          <w:p>
            <w:pPr>
              <w:spacing w:after="0"/>
              <w:rPr>
                <w:sz w:val="6"/>
                <w:szCs w:val="6"/>
                <w:color w:val="auto"/>
              </w:rPr>
            </w:pPr>
          </w:p>
        </w:tc>
        <w:tc>
          <w:tcPr>
            <w:tcW w:w="720" w:type="dxa"/>
            <w:vAlign w:val="bottom"/>
            <w:tcBorders>
              <w:bottom w:val="single" w:sz="8" w:color="00A1DF"/>
            </w:tcBorders>
          </w:tcPr>
          <w:p>
            <w:pPr>
              <w:spacing w:after="0"/>
              <w:rPr>
                <w:sz w:val="6"/>
                <w:szCs w:val="6"/>
                <w:color w:val="auto"/>
              </w:rPr>
            </w:pPr>
          </w:p>
        </w:tc>
        <w:tc>
          <w:tcPr>
            <w:tcW w:w="760" w:type="dxa"/>
            <w:vAlign w:val="bottom"/>
            <w:tcBorders>
              <w:bottom w:val="single" w:sz="8" w:color="00A1DF"/>
            </w:tcBorders>
          </w:tcPr>
          <w:p>
            <w:pPr>
              <w:spacing w:after="0"/>
              <w:rPr>
                <w:sz w:val="6"/>
                <w:szCs w:val="6"/>
                <w:color w:val="auto"/>
              </w:rPr>
            </w:pPr>
          </w:p>
        </w:tc>
        <w:tc>
          <w:tcPr>
            <w:tcW w:w="680" w:type="dxa"/>
            <w:vAlign w:val="bottom"/>
            <w:tcBorders>
              <w:bottom w:val="single" w:sz="8" w:color="00A1DF"/>
            </w:tcBorders>
          </w:tcPr>
          <w:p>
            <w:pPr>
              <w:spacing w:after="0"/>
              <w:rPr>
                <w:sz w:val="6"/>
                <w:szCs w:val="6"/>
                <w:color w:val="auto"/>
              </w:rPr>
            </w:pPr>
          </w:p>
        </w:tc>
        <w:tc>
          <w:tcPr>
            <w:tcW w:w="640" w:type="dxa"/>
            <w:vAlign w:val="bottom"/>
            <w:tcBorders>
              <w:bottom w:val="single" w:sz="8" w:color="00A1DF"/>
            </w:tcBorders>
          </w:tcPr>
          <w:p>
            <w:pPr>
              <w:spacing w:after="0"/>
              <w:rPr>
                <w:sz w:val="6"/>
                <w:szCs w:val="6"/>
                <w:color w:val="auto"/>
              </w:rPr>
            </w:pPr>
          </w:p>
        </w:tc>
        <w:tc>
          <w:tcPr>
            <w:tcW w:w="780" w:type="dxa"/>
            <w:vAlign w:val="bottom"/>
            <w:tcBorders>
              <w:bottom w:val="single" w:sz="8" w:color="00A1DF"/>
            </w:tcBorders>
          </w:tcPr>
          <w:p>
            <w:pPr>
              <w:spacing w:after="0"/>
              <w:rPr>
                <w:sz w:val="6"/>
                <w:szCs w:val="6"/>
                <w:color w:val="auto"/>
              </w:rPr>
            </w:pPr>
          </w:p>
        </w:tc>
        <w:tc>
          <w:tcPr>
            <w:tcW w:w="780" w:type="dxa"/>
            <w:vAlign w:val="bottom"/>
            <w:tcBorders>
              <w:bottom w:val="single" w:sz="8" w:color="00A1DF"/>
            </w:tcBorders>
          </w:tcPr>
          <w:p>
            <w:pPr>
              <w:spacing w:after="0"/>
              <w:rPr>
                <w:sz w:val="6"/>
                <w:szCs w:val="6"/>
                <w:color w:val="auto"/>
              </w:rPr>
            </w:pPr>
          </w:p>
        </w:tc>
        <w:tc>
          <w:tcPr>
            <w:tcW w:w="640" w:type="dxa"/>
            <w:vAlign w:val="bottom"/>
            <w:tcBorders>
              <w:bottom w:val="single" w:sz="8" w:color="00A1DF"/>
            </w:tcBorders>
          </w:tcPr>
          <w:p>
            <w:pPr>
              <w:spacing w:after="0"/>
              <w:rPr>
                <w:sz w:val="6"/>
                <w:szCs w:val="6"/>
                <w:color w:val="auto"/>
              </w:rPr>
            </w:pPr>
          </w:p>
        </w:tc>
        <w:tc>
          <w:tcPr>
            <w:tcW w:w="840" w:type="dxa"/>
            <w:vAlign w:val="bottom"/>
            <w:tcBorders>
              <w:bottom w:val="single" w:sz="8" w:color="00A1DF"/>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Mary T. Barra</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262,500</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4,200,000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8,400,000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470,000</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3,525,000</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44,740</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271,154</w:t>
            </w:r>
          </w:p>
        </w:tc>
        <w:tc>
          <w:tcPr>
            <w:tcW w:w="640" w:type="dxa"/>
            <w:vAlign w:val="bottom"/>
          </w:tcPr>
          <w:p>
            <w:pPr>
              <w:jc w:val="right"/>
              <w:spacing w:after="0"/>
              <w:rPr>
                <w:sz w:val="20"/>
                <w:szCs w:val="20"/>
                <w:color w:val="auto"/>
              </w:rPr>
            </w:pPr>
            <w:r>
              <w:rPr>
                <w:rFonts w:ascii="Arial" w:cs="Arial" w:eastAsia="Arial" w:hAnsi="Arial"/>
                <w:sz w:val="12"/>
                <w:szCs w:val="12"/>
                <w:color w:val="auto"/>
              </w:rPr>
              <w:t>542,308</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12,141,801</w:t>
            </w:r>
          </w:p>
        </w:tc>
        <w:tc>
          <w:tcPr>
            <w:tcW w:w="0" w:type="dxa"/>
            <w:vAlign w:val="bottom"/>
          </w:tcPr>
          <w:p>
            <w:pPr>
              <w:spacing w:after="0"/>
              <w:rPr>
                <w:sz w:val="1"/>
                <w:szCs w:val="1"/>
                <w:color w:val="auto"/>
              </w:rPr>
            </w:pPr>
          </w:p>
        </w:tc>
      </w:tr>
      <w:tr>
        <w:trPr>
          <w:trHeight w:val="58"/>
        </w:trPr>
        <w:tc>
          <w:tcPr>
            <w:tcW w:w="1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Dhivya Suryadevara</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78,125</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1,250,000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2,500,000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141,667</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1,062,503</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13,486</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81,731</w:t>
            </w:r>
          </w:p>
        </w:tc>
        <w:tc>
          <w:tcPr>
            <w:tcW w:w="640" w:type="dxa"/>
            <w:vAlign w:val="bottom"/>
          </w:tcPr>
          <w:p>
            <w:pPr>
              <w:jc w:val="right"/>
              <w:spacing w:after="0"/>
              <w:rPr>
                <w:sz w:val="20"/>
                <w:szCs w:val="20"/>
                <w:color w:val="auto"/>
              </w:rPr>
            </w:pPr>
            <w:r>
              <w:rPr>
                <w:rFonts w:ascii="Arial" w:cs="Arial" w:eastAsia="Arial" w:hAnsi="Arial"/>
                <w:sz w:val="12"/>
                <w:szCs w:val="12"/>
                <w:color w:val="auto"/>
              </w:rPr>
              <w:t>163,462</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3,659,772</w:t>
            </w:r>
          </w:p>
        </w:tc>
        <w:tc>
          <w:tcPr>
            <w:tcW w:w="0" w:type="dxa"/>
            <w:vAlign w:val="bottom"/>
          </w:tcPr>
          <w:p>
            <w:pPr>
              <w:spacing w:after="0"/>
              <w:rPr>
                <w:sz w:val="1"/>
                <w:szCs w:val="1"/>
                <w:color w:val="auto"/>
              </w:rPr>
            </w:pPr>
          </w:p>
        </w:tc>
      </w:tr>
      <w:tr>
        <w:trPr>
          <w:trHeight w:val="58"/>
        </w:trPr>
        <w:tc>
          <w:tcPr>
            <w:tcW w:w="1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Mark L. Reuss</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93,750</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1,500,000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3,000,000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160,000</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1,200,000</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15,231</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92,308</w:t>
            </w:r>
          </w:p>
        </w:tc>
        <w:tc>
          <w:tcPr>
            <w:tcW w:w="640" w:type="dxa"/>
            <w:vAlign w:val="bottom"/>
          </w:tcPr>
          <w:p>
            <w:pPr>
              <w:jc w:val="right"/>
              <w:spacing w:after="0"/>
              <w:rPr>
                <w:sz w:val="20"/>
                <w:szCs w:val="20"/>
                <w:color w:val="auto"/>
              </w:rPr>
            </w:pPr>
            <w:r>
              <w:rPr>
                <w:rFonts w:ascii="Arial" w:cs="Arial" w:eastAsia="Arial" w:hAnsi="Arial"/>
                <w:sz w:val="12"/>
                <w:szCs w:val="12"/>
                <w:color w:val="auto"/>
              </w:rPr>
              <w:t>184,616</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4,133,385</w:t>
            </w:r>
          </w:p>
        </w:tc>
        <w:tc>
          <w:tcPr>
            <w:tcW w:w="0" w:type="dxa"/>
            <w:vAlign w:val="bottom"/>
          </w:tcPr>
          <w:p>
            <w:pPr>
              <w:spacing w:after="0"/>
              <w:rPr>
                <w:sz w:val="1"/>
                <w:szCs w:val="1"/>
                <w:color w:val="auto"/>
              </w:rPr>
            </w:pPr>
          </w:p>
        </w:tc>
      </w:tr>
      <w:tr>
        <w:trPr>
          <w:trHeight w:val="58"/>
        </w:trPr>
        <w:tc>
          <w:tcPr>
            <w:tcW w:w="1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Barry L. Engle II</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62,500</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1,000,000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2,000,000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80,000</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600,000</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4/1/2019</w:t>
            </w:r>
          </w:p>
        </w:tc>
        <w:tc>
          <w:tcPr>
            <w:tcW w:w="680" w:type="dxa"/>
            <w:vAlign w:val="bottom"/>
          </w:tcPr>
          <w:p>
            <w:pPr>
              <w:jc w:val="right"/>
              <w:spacing w:after="0"/>
              <w:rPr>
                <w:sz w:val="20"/>
                <w:szCs w:val="20"/>
                <w:color w:val="auto"/>
              </w:rPr>
            </w:pPr>
            <w:r>
              <w:rPr>
                <w:rFonts w:ascii="Arial" w:cs="Arial" w:eastAsia="Arial" w:hAnsi="Arial"/>
                <w:sz w:val="12"/>
                <w:szCs w:val="12"/>
                <w:color w:val="auto"/>
              </w:rPr>
              <w:t>2/25/2019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31,447</w:t>
            </w:r>
          </w:p>
        </w:tc>
        <w:tc>
          <w:tcPr>
            <w:tcW w:w="640" w:type="dxa"/>
            <w:vAlign w:val="bottom"/>
          </w:tcPr>
          <w:p>
            <w:pPr>
              <w:jc w:val="right"/>
              <w:spacing w:after="0"/>
              <w:rPr>
                <w:sz w:val="20"/>
                <w:szCs w:val="20"/>
                <w:color w:val="auto"/>
              </w:rPr>
            </w:pPr>
            <w:r>
              <w:rPr>
                <w:rFonts w:ascii="Arial" w:cs="Arial" w:eastAsia="Arial" w:hAnsi="Arial"/>
                <w:sz w:val="12"/>
                <w:szCs w:val="12"/>
                <w:color w:val="auto"/>
              </w:rPr>
              <w:t>37.76</w:t>
            </w:r>
          </w:p>
        </w:tc>
        <w:tc>
          <w:tcPr>
            <w:tcW w:w="840" w:type="dxa"/>
            <w:vAlign w:val="bottom"/>
          </w:tcPr>
          <w:p>
            <w:pPr>
              <w:jc w:val="right"/>
              <w:spacing w:after="0"/>
              <w:rPr>
                <w:sz w:val="20"/>
                <w:szCs w:val="20"/>
                <w:color w:val="auto"/>
              </w:rPr>
            </w:pPr>
            <w:r>
              <w:rPr>
                <w:rFonts w:ascii="Arial" w:cs="Arial" w:eastAsia="Arial" w:hAnsi="Arial"/>
                <w:sz w:val="12"/>
                <w:szCs w:val="12"/>
                <w:color w:val="auto"/>
              </w:rPr>
              <w:t>200,003</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7,615</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46,154</w:t>
            </w:r>
          </w:p>
        </w:tc>
        <w:tc>
          <w:tcPr>
            <w:tcW w:w="640" w:type="dxa"/>
            <w:vAlign w:val="bottom"/>
          </w:tcPr>
          <w:p>
            <w:pPr>
              <w:jc w:val="right"/>
              <w:spacing w:after="0"/>
              <w:rPr>
                <w:sz w:val="20"/>
                <w:szCs w:val="20"/>
                <w:color w:val="auto"/>
              </w:rPr>
            </w:pPr>
            <w:r>
              <w:rPr>
                <w:rFonts w:ascii="Arial" w:cs="Arial" w:eastAsia="Arial" w:hAnsi="Arial"/>
                <w:sz w:val="12"/>
                <w:szCs w:val="12"/>
                <w:color w:val="auto"/>
              </w:rPr>
              <w:t>92,308</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2,066,684</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4/1/2019</w:t>
            </w:r>
          </w:p>
        </w:tc>
        <w:tc>
          <w:tcPr>
            <w:tcW w:w="680" w:type="dxa"/>
            <w:vAlign w:val="bottom"/>
          </w:tcPr>
          <w:p>
            <w:pPr>
              <w:jc w:val="right"/>
              <w:spacing w:after="0"/>
              <w:rPr>
                <w:sz w:val="20"/>
                <w:szCs w:val="20"/>
                <w:color w:val="auto"/>
              </w:rPr>
            </w:pPr>
            <w:r>
              <w:rPr>
                <w:rFonts w:ascii="Arial" w:cs="Arial" w:eastAsia="Arial" w:hAnsi="Arial"/>
                <w:sz w:val="12"/>
                <w:szCs w:val="12"/>
                <w:color w:val="auto"/>
              </w:rPr>
              <w:t>2/25/2019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2,622</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15,890</w:t>
            </w:r>
          </w:p>
        </w:tc>
        <w:tc>
          <w:tcPr>
            <w:tcW w:w="640" w:type="dxa"/>
            <w:vAlign w:val="bottom"/>
          </w:tcPr>
          <w:p>
            <w:pPr>
              <w:jc w:val="right"/>
              <w:spacing w:after="0"/>
              <w:rPr>
                <w:sz w:val="20"/>
                <w:szCs w:val="20"/>
                <w:color w:val="auto"/>
              </w:rPr>
            </w:pPr>
            <w:r>
              <w:rPr>
                <w:rFonts w:ascii="Arial" w:cs="Arial" w:eastAsia="Arial" w:hAnsi="Arial"/>
                <w:sz w:val="12"/>
                <w:szCs w:val="12"/>
                <w:color w:val="auto"/>
              </w:rPr>
              <w:t>31,780</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680,592</w:t>
            </w:r>
          </w:p>
        </w:tc>
        <w:tc>
          <w:tcPr>
            <w:tcW w:w="0" w:type="dxa"/>
            <w:vAlign w:val="bottom"/>
          </w:tcPr>
          <w:p>
            <w:pPr>
              <w:spacing w:after="0"/>
              <w:rPr>
                <w:sz w:val="1"/>
                <w:szCs w:val="1"/>
                <w:color w:val="auto"/>
              </w:rPr>
            </w:pPr>
          </w:p>
        </w:tc>
      </w:tr>
      <w:tr>
        <w:trPr>
          <w:trHeight w:val="58"/>
        </w:trPr>
        <w:tc>
          <w:tcPr>
            <w:tcW w:w="1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Craig B. Glidden</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60,550</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968,800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1,937,600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80,207</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601,553</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7,635</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46,274</w:t>
            </w:r>
          </w:p>
        </w:tc>
        <w:tc>
          <w:tcPr>
            <w:tcW w:w="640" w:type="dxa"/>
            <w:vAlign w:val="bottom"/>
          </w:tcPr>
          <w:p>
            <w:pPr>
              <w:jc w:val="right"/>
              <w:spacing w:after="0"/>
              <w:rPr>
                <w:sz w:val="20"/>
                <w:szCs w:val="20"/>
                <w:color w:val="auto"/>
              </w:rPr>
            </w:pPr>
            <w:r>
              <w:rPr>
                <w:rFonts w:ascii="Arial" w:cs="Arial" w:eastAsia="Arial" w:hAnsi="Arial"/>
                <w:sz w:val="12"/>
                <w:szCs w:val="12"/>
                <w:color w:val="auto"/>
              </w:rPr>
              <w:t>92,548</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2,072,064</w:t>
            </w:r>
          </w:p>
        </w:tc>
        <w:tc>
          <w:tcPr>
            <w:tcW w:w="0" w:type="dxa"/>
            <w:vAlign w:val="bottom"/>
          </w:tcPr>
          <w:p>
            <w:pPr>
              <w:spacing w:after="0"/>
              <w:rPr>
                <w:sz w:val="1"/>
                <w:szCs w:val="1"/>
                <w:color w:val="auto"/>
              </w:rPr>
            </w:pPr>
          </w:p>
        </w:tc>
      </w:tr>
      <w:tr>
        <w:trPr>
          <w:trHeight w:val="58"/>
        </w:trPr>
        <w:tc>
          <w:tcPr>
            <w:tcW w:w="1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ind w:left="80"/>
              <w:spacing w:after="0"/>
              <w:rPr>
                <w:sz w:val="20"/>
                <w:szCs w:val="20"/>
                <w:color w:val="auto"/>
              </w:rPr>
            </w:pPr>
            <w:r>
              <w:rPr>
                <w:rFonts w:ascii="Arial" w:cs="Arial" w:eastAsia="Arial" w:hAnsi="Arial"/>
                <w:sz w:val="12"/>
                <w:szCs w:val="12"/>
                <w:color w:val="auto"/>
              </w:rPr>
              <w:t>Alan S. Batey</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STIP</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1/1/2019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jc w:val="right"/>
              <w:spacing w:after="0"/>
              <w:rPr>
                <w:sz w:val="20"/>
                <w:szCs w:val="20"/>
                <w:color w:val="auto"/>
              </w:rPr>
            </w:pPr>
            <w:r>
              <w:rPr>
                <w:rFonts w:ascii="Arial" w:cs="Arial" w:eastAsia="Arial" w:hAnsi="Arial"/>
                <w:sz w:val="12"/>
                <w:szCs w:val="12"/>
                <w:color w:val="auto"/>
              </w:rPr>
              <w:t>80,081</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1,281,300</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2,562,600</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Options</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89,790</w:t>
            </w:r>
          </w:p>
        </w:tc>
        <w:tc>
          <w:tcPr>
            <w:tcW w:w="640" w:type="dxa"/>
            <w:vAlign w:val="bottom"/>
          </w:tcPr>
          <w:p>
            <w:pPr>
              <w:jc w:val="right"/>
              <w:spacing w:after="0"/>
              <w:rPr>
                <w:sz w:val="20"/>
                <w:szCs w:val="20"/>
                <w:color w:val="auto"/>
              </w:rPr>
            </w:pPr>
            <w:r>
              <w:rPr>
                <w:rFonts w:ascii="Arial" w:cs="Arial" w:eastAsia="Arial" w:hAnsi="Arial"/>
                <w:sz w:val="12"/>
                <w:szCs w:val="12"/>
                <w:color w:val="auto"/>
              </w:rPr>
              <w:t>39.00</w:t>
            </w:r>
          </w:p>
        </w:tc>
        <w:tc>
          <w:tcPr>
            <w:tcW w:w="840" w:type="dxa"/>
            <w:vAlign w:val="bottom"/>
          </w:tcPr>
          <w:p>
            <w:pPr>
              <w:jc w:val="right"/>
              <w:spacing w:after="0"/>
              <w:rPr>
                <w:sz w:val="20"/>
                <w:szCs w:val="20"/>
                <w:color w:val="auto"/>
              </w:rPr>
            </w:pPr>
            <w:r>
              <w:rPr>
                <w:rFonts w:ascii="Arial" w:cs="Arial" w:eastAsia="Arial" w:hAnsi="Arial"/>
                <w:sz w:val="12"/>
                <w:szCs w:val="12"/>
                <w:color w:val="auto"/>
              </w:rPr>
              <w:t>673,425</w:t>
            </w:r>
          </w:p>
        </w:tc>
        <w:tc>
          <w:tcPr>
            <w:tcW w:w="0" w:type="dxa"/>
            <w:vAlign w:val="bottom"/>
          </w:tcPr>
          <w:p>
            <w:pPr>
              <w:spacing w:after="0"/>
              <w:rPr>
                <w:sz w:val="1"/>
                <w:szCs w:val="1"/>
                <w:color w:val="auto"/>
              </w:rPr>
            </w:pPr>
          </w:p>
        </w:tc>
      </w:tr>
      <w:tr>
        <w:trPr>
          <w:trHeight w:val="58"/>
        </w:trPr>
        <w:tc>
          <w:tcPr>
            <w:tcW w:w="146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PSU</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2/13/2019</w:t>
            </w:r>
          </w:p>
        </w:tc>
        <w:tc>
          <w:tcPr>
            <w:tcW w:w="680" w:type="dxa"/>
            <w:vAlign w:val="bottom"/>
          </w:tcPr>
          <w:p>
            <w:pPr>
              <w:jc w:val="right"/>
              <w:spacing w:after="0"/>
              <w:rPr>
                <w:sz w:val="20"/>
                <w:szCs w:val="20"/>
                <w:color w:val="auto"/>
              </w:rPr>
            </w:pPr>
            <w:r>
              <w:rPr>
                <w:rFonts w:ascii="Arial" w:cs="Arial" w:eastAsia="Arial" w:hAnsi="Arial"/>
                <w:sz w:val="12"/>
                <w:szCs w:val="12"/>
                <w:color w:val="auto"/>
              </w:rPr>
              <w:t>1/17/2019</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right"/>
              <w:ind w:right="18"/>
              <w:spacing w:after="0"/>
              <w:rPr>
                <w:sz w:val="20"/>
                <w:szCs w:val="20"/>
                <w:color w:val="auto"/>
              </w:rPr>
            </w:pPr>
            <w:r>
              <w:rPr>
                <w:rFonts w:ascii="Arial" w:cs="Arial" w:eastAsia="Arial" w:hAnsi="Arial"/>
                <w:sz w:val="12"/>
                <w:szCs w:val="12"/>
                <w:color w:val="auto"/>
              </w:rPr>
              <w:t>8,547</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51,802</w:t>
            </w:r>
          </w:p>
        </w:tc>
        <w:tc>
          <w:tcPr>
            <w:tcW w:w="640" w:type="dxa"/>
            <w:vAlign w:val="bottom"/>
          </w:tcPr>
          <w:p>
            <w:pPr>
              <w:jc w:val="right"/>
              <w:spacing w:after="0"/>
              <w:rPr>
                <w:sz w:val="20"/>
                <w:szCs w:val="20"/>
                <w:color w:val="auto"/>
              </w:rPr>
            </w:pPr>
            <w:r>
              <w:rPr>
                <w:rFonts w:ascii="Arial" w:cs="Arial" w:eastAsia="Arial" w:hAnsi="Arial"/>
                <w:sz w:val="12"/>
                <w:szCs w:val="12"/>
                <w:color w:val="auto"/>
              </w:rPr>
              <w:t>103,604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2,319,594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2" w:lineRule="exact"/>
        <w:rPr>
          <w:sz w:val="20"/>
          <w:szCs w:val="20"/>
          <w:color w:val="auto"/>
        </w:rPr>
      </w:pPr>
    </w:p>
    <w:p>
      <w:pPr>
        <w:jc w:val="both"/>
        <w:ind w:left="600" w:right="20" w:hanging="433"/>
        <w:spacing w:after="0" w:line="246" w:lineRule="auto"/>
        <w:tabs>
          <w:tab w:leader="none" w:pos="60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This column shows the aggregate grant date fair value of PSUs and Stock Options granted to the NEOs in 2019. The aggregate grant date fair value is the amount that the Company expects to expense in its financial statements over the vesting schedule. All grant date fair values have been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65</w:t>
      </w:r>
    </w:p>
    <w:p>
      <w:pPr>
        <w:sectPr>
          <w:pgSz w:w="11900" w:h="16838" w:orient="portrait"/>
          <w:cols w:equalWidth="0" w:num="1">
            <w:col w:w="11100"/>
          </w:cols>
          <w:pgMar w:left="320" w:top="456"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10"/>
        </w:numPr>
        <w:rPr>
          <w:rFonts w:ascii="Arial" w:cs="Arial" w:eastAsia="Arial" w:hAnsi="Arial"/>
          <w:sz w:val="25"/>
          <w:szCs w:val="25"/>
          <w:color w:val="0033A0"/>
        </w:rPr>
      </w:pPr>
      <w:r>
        <w:rPr>
          <w:rFonts w:ascii="Arial" w:cs="Arial" w:eastAsia="Arial" w:hAnsi="Arial"/>
          <w:sz w:val="25"/>
          <w:szCs w:val="25"/>
          <w:color w:val="auto"/>
        </w:rPr>
        <w:t>Outstanding Equity Awards at Fiscal Year-End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1980" w:type="dxa"/>
            <w:vAlign w:val="bottom"/>
            <w:tcBorders>
              <w:top w:val="single" w:sz="8" w:color="00A1DF"/>
            </w:tcBorders>
          </w:tcPr>
          <w:p>
            <w:pPr>
              <w:spacing w:after="0"/>
              <w:rPr>
                <w:sz w:val="13"/>
                <w:szCs w:val="13"/>
                <w:color w:val="auto"/>
              </w:rPr>
            </w:pPr>
          </w:p>
        </w:tc>
        <w:tc>
          <w:tcPr>
            <w:tcW w:w="200" w:type="dxa"/>
            <w:vAlign w:val="bottom"/>
            <w:tcBorders>
              <w:top w:val="single" w:sz="8" w:color="00A1DF"/>
            </w:tcBorders>
          </w:tcPr>
          <w:p>
            <w:pPr>
              <w:spacing w:after="0"/>
              <w:rPr>
                <w:sz w:val="13"/>
                <w:szCs w:val="13"/>
                <w:color w:val="auto"/>
              </w:rPr>
            </w:pPr>
          </w:p>
        </w:tc>
        <w:tc>
          <w:tcPr>
            <w:tcW w:w="720" w:type="dxa"/>
            <w:vAlign w:val="bottom"/>
            <w:tcBorders>
              <w:top w:val="single" w:sz="8" w:color="00A1DF"/>
              <w:bottom w:val="single" w:sz="8" w:color="00A1DF"/>
            </w:tcBorders>
          </w:tcPr>
          <w:p>
            <w:pPr>
              <w:spacing w:after="0"/>
              <w:rPr>
                <w:sz w:val="13"/>
                <w:szCs w:val="13"/>
                <w:color w:val="auto"/>
              </w:rPr>
            </w:pPr>
          </w:p>
        </w:tc>
        <w:tc>
          <w:tcPr>
            <w:tcW w:w="940" w:type="dxa"/>
            <w:vAlign w:val="bottom"/>
            <w:tcBorders>
              <w:top w:val="single" w:sz="8" w:color="00A1DF"/>
              <w:bottom w:val="single" w:sz="8" w:color="00A1DF"/>
            </w:tcBorders>
          </w:tcPr>
          <w:p>
            <w:pPr>
              <w:spacing w:after="0"/>
              <w:rPr>
                <w:sz w:val="13"/>
                <w:szCs w:val="13"/>
                <w:color w:val="auto"/>
              </w:rPr>
            </w:pPr>
          </w:p>
        </w:tc>
        <w:tc>
          <w:tcPr>
            <w:tcW w:w="1240" w:type="dxa"/>
            <w:vAlign w:val="bottom"/>
            <w:tcBorders>
              <w:top w:val="single" w:sz="8" w:color="00A1DF"/>
              <w:bottom w:val="single" w:sz="8" w:color="00A1DF"/>
            </w:tcBorders>
          </w:tcPr>
          <w:p>
            <w:pPr>
              <w:jc w:val="right"/>
              <w:ind w:right="218"/>
              <w:spacing w:after="0"/>
              <w:rPr>
                <w:sz w:val="20"/>
                <w:szCs w:val="20"/>
                <w:color w:val="auto"/>
              </w:rPr>
            </w:pPr>
            <w:r>
              <w:rPr>
                <w:rFonts w:ascii="Arial" w:cs="Arial" w:eastAsia="Arial" w:hAnsi="Arial"/>
                <w:sz w:val="12"/>
                <w:szCs w:val="12"/>
                <w:b w:val="1"/>
                <w:bCs w:val="1"/>
                <w:color w:val="00A1DF"/>
              </w:rPr>
              <w:t>Option Awards</w:t>
            </w:r>
          </w:p>
        </w:tc>
        <w:tc>
          <w:tcPr>
            <w:tcW w:w="740" w:type="dxa"/>
            <w:vAlign w:val="bottom"/>
            <w:tcBorders>
              <w:top w:val="single" w:sz="8" w:color="00A1DF"/>
              <w:bottom w:val="single" w:sz="8" w:color="00A1DF"/>
            </w:tcBorders>
          </w:tcPr>
          <w:p>
            <w:pPr>
              <w:spacing w:after="0"/>
              <w:rPr>
                <w:sz w:val="13"/>
                <w:szCs w:val="13"/>
                <w:color w:val="auto"/>
              </w:rPr>
            </w:pPr>
          </w:p>
        </w:tc>
        <w:tc>
          <w:tcPr>
            <w:tcW w:w="780" w:type="dxa"/>
            <w:vAlign w:val="bottom"/>
            <w:tcBorders>
              <w:top w:val="single" w:sz="8" w:color="00A1DF"/>
              <w:bottom w:val="single" w:sz="8" w:color="00A1DF"/>
            </w:tcBorders>
          </w:tcPr>
          <w:p>
            <w:pPr>
              <w:spacing w:after="0"/>
              <w:rPr>
                <w:sz w:val="13"/>
                <w:szCs w:val="13"/>
                <w:color w:val="auto"/>
              </w:rPr>
            </w:pPr>
          </w:p>
        </w:tc>
        <w:tc>
          <w:tcPr>
            <w:tcW w:w="220" w:type="dxa"/>
            <w:vAlign w:val="bottom"/>
            <w:tcBorders>
              <w:top w:val="single" w:sz="8" w:color="00A1DF"/>
            </w:tcBorders>
          </w:tcPr>
          <w:p>
            <w:pPr>
              <w:spacing w:after="0"/>
              <w:rPr>
                <w:sz w:val="13"/>
                <w:szCs w:val="13"/>
                <w:color w:val="auto"/>
              </w:rPr>
            </w:pPr>
          </w:p>
        </w:tc>
        <w:tc>
          <w:tcPr>
            <w:tcW w:w="880" w:type="dxa"/>
            <w:vAlign w:val="bottom"/>
            <w:tcBorders>
              <w:top w:val="single" w:sz="8" w:color="00A1DF"/>
              <w:bottom w:val="single" w:sz="8" w:color="00A1DF"/>
            </w:tcBorders>
          </w:tcPr>
          <w:p>
            <w:pPr>
              <w:spacing w:after="0"/>
              <w:rPr>
                <w:sz w:val="13"/>
                <w:szCs w:val="13"/>
                <w:color w:val="auto"/>
              </w:rPr>
            </w:pPr>
          </w:p>
        </w:tc>
        <w:tc>
          <w:tcPr>
            <w:tcW w:w="2160" w:type="dxa"/>
            <w:vAlign w:val="bottom"/>
            <w:tcBorders>
              <w:top w:val="single" w:sz="8" w:color="00A1DF"/>
              <w:bottom w:val="single" w:sz="8" w:color="00A1DF"/>
            </w:tcBorders>
            <w:gridSpan w:val="2"/>
          </w:tcPr>
          <w:p>
            <w:pPr>
              <w:jc w:val="right"/>
              <w:ind w:right="538"/>
              <w:spacing w:after="0"/>
              <w:rPr>
                <w:sz w:val="20"/>
                <w:szCs w:val="20"/>
                <w:color w:val="auto"/>
              </w:rPr>
            </w:pPr>
            <w:r>
              <w:rPr>
                <w:rFonts w:ascii="Arial" w:cs="Arial" w:eastAsia="Arial" w:hAnsi="Arial"/>
                <w:sz w:val="12"/>
                <w:szCs w:val="12"/>
                <w:b w:val="1"/>
                <w:bCs w:val="1"/>
                <w:color w:val="00A1DF"/>
              </w:rPr>
              <w:t>Stock Awards</w:t>
            </w:r>
            <w:r>
              <w:rPr>
                <w:rFonts w:ascii="Arial" w:cs="Arial" w:eastAsia="Arial" w:hAnsi="Arial"/>
                <w:sz w:val="10"/>
                <w:szCs w:val="10"/>
                <w:b w:val="1"/>
                <w:bCs w:val="1"/>
                <w:color w:val="00A1DF"/>
              </w:rPr>
              <w:t>(1)</w:t>
            </w:r>
          </w:p>
        </w:tc>
        <w:tc>
          <w:tcPr>
            <w:tcW w:w="1060" w:type="dxa"/>
            <w:vAlign w:val="bottom"/>
            <w:tcBorders>
              <w:top w:val="single" w:sz="8" w:color="00A1DF"/>
              <w:bottom w:val="single" w:sz="8" w:color="00A1DF"/>
            </w:tcBorders>
          </w:tcPr>
          <w:p>
            <w:pPr>
              <w:spacing w:after="0"/>
              <w:rPr>
                <w:sz w:val="13"/>
                <w:szCs w:val="13"/>
                <w:color w:val="auto"/>
              </w:rPr>
            </w:pPr>
          </w:p>
        </w:tc>
      </w:tr>
      <w:tr>
        <w:trPr>
          <w:trHeight w:val="107"/>
        </w:trPr>
        <w:tc>
          <w:tcPr>
            <w:tcW w:w="1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jc w:val="right"/>
              <w:ind w:right="118"/>
              <w:spacing w:after="0" w:line="107" w:lineRule="exact"/>
              <w:rPr>
                <w:sz w:val="20"/>
                <w:szCs w:val="20"/>
                <w:color w:val="auto"/>
              </w:rPr>
            </w:pPr>
            <w:r>
              <w:rPr>
                <w:rFonts w:ascii="Arial" w:cs="Arial" w:eastAsia="Arial" w:hAnsi="Arial"/>
                <w:sz w:val="12"/>
                <w:szCs w:val="12"/>
                <w:b w:val="1"/>
                <w:bCs w:val="1"/>
                <w:color w:val="00A1DF"/>
              </w:rPr>
              <w:t>Equity</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Equity</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Incentive</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Incentive</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Plan Awards:</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Plan Awards:</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Market or</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Number of</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Number of</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Market</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Number of</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Payout Value</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Securities</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Securities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A1DF"/>
              </w:rPr>
              <w:t>Number</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Value of</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Unearned</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of Unearned</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Underlying</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Underlying</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A1DF"/>
              </w:rPr>
              <w:t>of Shares</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Shares or</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Shares, Units,</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Shares, Units,</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Unexercised</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Unexercised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A1DF"/>
              </w:rPr>
              <w:t>or Units of</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Units of</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or Other</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or Other</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Options</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Options</w:t>
            </w:r>
          </w:p>
        </w:tc>
        <w:tc>
          <w:tcPr>
            <w:tcW w:w="74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Option</w:t>
            </w:r>
          </w:p>
        </w:tc>
        <w:tc>
          <w:tcPr>
            <w:tcW w:w="1000" w:type="dxa"/>
            <w:vAlign w:val="bottom"/>
            <w:gridSpan w:val="2"/>
          </w:tcPr>
          <w:p>
            <w:pPr>
              <w:jc w:val="right"/>
              <w:ind w:right="260"/>
              <w:spacing w:after="0" w:line="134" w:lineRule="exact"/>
              <w:rPr>
                <w:sz w:val="20"/>
                <w:szCs w:val="20"/>
                <w:color w:val="auto"/>
              </w:rPr>
            </w:pPr>
            <w:r>
              <w:rPr>
                <w:rFonts w:ascii="Arial" w:cs="Arial" w:eastAsia="Arial" w:hAnsi="Arial"/>
                <w:sz w:val="12"/>
                <w:szCs w:val="12"/>
                <w:b w:val="1"/>
                <w:bCs w:val="1"/>
                <w:color w:val="00A1DF"/>
              </w:rPr>
              <w:t>Option</w:t>
            </w:r>
          </w:p>
        </w:tc>
        <w:tc>
          <w:tcPr>
            <w:tcW w:w="88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A1DF"/>
              </w:rPr>
              <w:t>Stock That</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Stock That</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Rights That</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Rights That</w:t>
            </w:r>
          </w:p>
        </w:tc>
      </w:tr>
      <w:tr>
        <w:trPr>
          <w:trHeight w:val="134"/>
        </w:trPr>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Grant</w:t>
            </w:r>
          </w:p>
        </w:tc>
        <w:tc>
          <w:tcPr>
            <w:tcW w:w="940" w:type="dxa"/>
            <w:vAlign w:val="bottom"/>
          </w:tcPr>
          <w:p>
            <w:pPr>
              <w:jc w:val="right"/>
              <w:ind w:right="18"/>
              <w:spacing w:after="0" w:line="134" w:lineRule="exact"/>
              <w:rPr>
                <w:sz w:val="20"/>
                <w:szCs w:val="20"/>
                <w:color w:val="auto"/>
              </w:rPr>
            </w:pPr>
            <w:r>
              <w:rPr>
                <w:rFonts w:ascii="Arial" w:cs="Arial" w:eastAsia="Arial" w:hAnsi="Arial"/>
                <w:sz w:val="12"/>
                <w:szCs w:val="12"/>
                <w:b w:val="1"/>
                <w:bCs w:val="1"/>
                <w:color w:val="00A1DF"/>
              </w:rPr>
              <w:t>Exercisable</w:t>
            </w:r>
          </w:p>
        </w:tc>
        <w:tc>
          <w:tcPr>
            <w:tcW w:w="1240" w:type="dxa"/>
            <w:vAlign w:val="bottom"/>
          </w:tcPr>
          <w:p>
            <w:pPr>
              <w:jc w:val="right"/>
              <w:ind w:right="158"/>
              <w:spacing w:after="0" w:line="134" w:lineRule="exact"/>
              <w:rPr>
                <w:sz w:val="20"/>
                <w:szCs w:val="20"/>
                <w:color w:val="auto"/>
              </w:rPr>
            </w:pPr>
            <w:r>
              <w:rPr>
                <w:rFonts w:ascii="Arial" w:cs="Arial" w:eastAsia="Arial" w:hAnsi="Arial"/>
                <w:sz w:val="12"/>
                <w:szCs w:val="12"/>
                <w:b w:val="1"/>
                <w:bCs w:val="1"/>
                <w:color w:val="00A1DF"/>
              </w:rPr>
              <w:t>Unexercisable</w:t>
            </w:r>
          </w:p>
        </w:tc>
        <w:tc>
          <w:tcPr>
            <w:tcW w:w="74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Exercise</w:t>
            </w:r>
          </w:p>
        </w:tc>
        <w:tc>
          <w:tcPr>
            <w:tcW w:w="1000" w:type="dxa"/>
            <w:vAlign w:val="bottom"/>
            <w:gridSpan w:val="2"/>
          </w:tcPr>
          <w:p>
            <w:pPr>
              <w:jc w:val="right"/>
              <w:ind w:right="260"/>
              <w:spacing w:after="0" w:line="134" w:lineRule="exact"/>
              <w:rPr>
                <w:sz w:val="20"/>
                <w:szCs w:val="20"/>
                <w:color w:val="auto"/>
              </w:rPr>
            </w:pPr>
            <w:r>
              <w:rPr>
                <w:rFonts w:ascii="Arial" w:cs="Arial" w:eastAsia="Arial" w:hAnsi="Arial"/>
                <w:sz w:val="12"/>
                <w:szCs w:val="12"/>
                <w:b w:val="1"/>
                <w:bCs w:val="1"/>
                <w:color w:val="00A1DF"/>
              </w:rPr>
              <w:t>Expiration</w:t>
            </w:r>
          </w:p>
        </w:tc>
        <w:tc>
          <w:tcPr>
            <w:tcW w:w="880" w:type="dxa"/>
            <w:vAlign w:val="bottom"/>
          </w:tcPr>
          <w:p>
            <w:pPr>
              <w:jc w:val="right"/>
              <w:ind w:right="178"/>
              <w:spacing w:after="0" w:line="134" w:lineRule="exact"/>
              <w:rPr>
                <w:sz w:val="20"/>
                <w:szCs w:val="20"/>
                <w:color w:val="auto"/>
              </w:rPr>
            </w:pPr>
            <w:r>
              <w:rPr>
                <w:rFonts w:ascii="Arial" w:cs="Arial" w:eastAsia="Arial" w:hAnsi="Arial"/>
                <w:sz w:val="12"/>
                <w:szCs w:val="12"/>
                <w:b w:val="1"/>
                <w:bCs w:val="1"/>
                <w:color w:val="00A1DF"/>
              </w:rPr>
              <w:t>Have Not</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00A1DF"/>
              </w:rPr>
              <w:t>Have Not</w:t>
            </w:r>
          </w:p>
        </w:tc>
        <w:tc>
          <w:tcPr>
            <w:tcW w:w="1300" w:type="dxa"/>
            <w:vAlign w:val="bottom"/>
          </w:tcPr>
          <w:p>
            <w:pPr>
              <w:jc w:val="right"/>
              <w:ind w:right="278"/>
              <w:spacing w:after="0" w:line="134" w:lineRule="exact"/>
              <w:rPr>
                <w:sz w:val="20"/>
                <w:szCs w:val="20"/>
                <w:color w:val="auto"/>
              </w:rPr>
            </w:pPr>
            <w:r>
              <w:rPr>
                <w:rFonts w:ascii="Arial" w:cs="Arial" w:eastAsia="Arial" w:hAnsi="Arial"/>
                <w:sz w:val="12"/>
                <w:szCs w:val="12"/>
                <w:b w:val="1"/>
                <w:bCs w:val="1"/>
                <w:color w:val="00A1DF"/>
              </w:rPr>
              <w:t>Have Not</w:t>
            </w:r>
          </w:p>
        </w:tc>
        <w:tc>
          <w:tcPr>
            <w:tcW w:w="10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00A1DF"/>
              </w:rPr>
              <w:t>Have Not</w:t>
            </w:r>
          </w:p>
        </w:tc>
      </w:tr>
      <w:tr>
        <w:trPr>
          <w:trHeight w:val="176"/>
        </w:trPr>
        <w:tc>
          <w:tcPr>
            <w:tcW w:w="1980" w:type="dxa"/>
            <w:vAlign w:val="bottom"/>
          </w:tcPr>
          <w:p>
            <w:pPr>
              <w:spacing w:after="0"/>
              <w:rPr>
                <w:sz w:val="20"/>
                <w:szCs w:val="20"/>
                <w:color w:val="auto"/>
              </w:rPr>
            </w:pPr>
            <w:r>
              <w:rPr>
                <w:rFonts w:ascii="Arial" w:cs="Arial" w:eastAsia="Arial" w:hAnsi="Arial"/>
                <w:sz w:val="12"/>
                <w:szCs w:val="12"/>
                <w:b w:val="1"/>
                <w:bCs w:val="1"/>
                <w:color w:val="00A1DF"/>
              </w:rPr>
              <w:t>Name</w:t>
            </w:r>
          </w:p>
        </w:tc>
        <w:tc>
          <w:tcPr>
            <w:tcW w:w="20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b w:val="1"/>
                <w:bCs w:val="1"/>
                <w:color w:val="00A1DF"/>
              </w:rPr>
              <w:t>Date</w:t>
            </w:r>
          </w:p>
        </w:tc>
        <w:tc>
          <w:tcPr>
            <w:tcW w:w="940" w:type="dxa"/>
            <w:vAlign w:val="bottom"/>
          </w:tcPr>
          <w:p>
            <w:pPr>
              <w:jc w:val="right"/>
              <w:ind w:right="18"/>
              <w:spacing w:after="0"/>
              <w:rPr>
                <w:sz w:val="20"/>
                <w:szCs w:val="20"/>
                <w:color w:val="auto"/>
              </w:rPr>
            </w:pPr>
            <w:r>
              <w:rPr>
                <w:rFonts w:ascii="Arial" w:cs="Arial" w:eastAsia="Arial" w:hAnsi="Arial"/>
                <w:sz w:val="12"/>
                <w:szCs w:val="12"/>
                <w:b w:val="1"/>
                <w:bCs w:val="1"/>
                <w:color w:val="00A1DF"/>
              </w:rPr>
              <w:t>(#)</w:t>
            </w:r>
          </w:p>
        </w:tc>
        <w:tc>
          <w:tcPr>
            <w:tcW w:w="1240" w:type="dxa"/>
            <w:vAlign w:val="bottom"/>
          </w:tcPr>
          <w:p>
            <w:pPr>
              <w:jc w:val="right"/>
              <w:ind w:right="158"/>
              <w:spacing w:after="0"/>
              <w:rPr>
                <w:sz w:val="20"/>
                <w:szCs w:val="20"/>
                <w:color w:val="auto"/>
              </w:rPr>
            </w:pPr>
            <w:r>
              <w:rPr>
                <w:rFonts w:ascii="Arial" w:cs="Arial" w:eastAsia="Arial" w:hAnsi="Arial"/>
                <w:sz w:val="12"/>
                <w:szCs w:val="12"/>
                <w:b w:val="1"/>
                <w:bCs w:val="1"/>
                <w:color w:val="00A1DF"/>
              </w:rPr>
              <w:t>(#)</w:t>
            </w:r>
          </w:p>
        </w:tc>
        <w:tc>
          <w:tcPr>
            <w:tcW w:w="740" w:type="dxa"/>
            <w:vAlign w:val="bottom"/>
          </w:tcPr>
          <w:p>
            <w:pPr>
              <w:jc w:val="right"/>
              <w:ind w:right="58"/>
              <w:spacing w:after="0"/>
              <w:rPr>
                <w:sz w:val="20"/>
                <w:szCs w:val="20"/>
                <w:color w:val="auto"/>
              </w:rPr>
            </w:pPr>
            <w:r>
              <w:rPr>
                <w:rFonts w:ascii="Arial" w:cs="Arial" w:eastAsia="Arial" w:hAnsi="Arial"/>
                <w:sz w:val="12"/>
                <w:szCs w:val="12"/>
                <w:b w:val="1"/>
                <w:bCs w:val="1"/>
                <w:color w:val="00A1DF"/>
              </w:rPr>
              <w:t>Price ($)</w:t>
            </w:r>
          </w:p>
        </w:tc>
        <w:tc>
          <w:tcPr>
            <w:tcW w:w="10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00A1DF"/>
              </w:rPr>
              <w:t>Date</w:t>
            </w:r>
          </w:p>
        </w:tc>
        <w:tc>
          <w:tcPr>
            <w:tcW w:w="880" w:type="dxa"/>
            <w:vAlign w:val="bottom"/>
          </w:tcPr>
          <w:p>
            <w:pPr>
              <w:jc w:val="right"/>
              <w:ind w:right="178"/>
              <w:spacing w:after="0"/>
              <w:rPr>
                <w:sz w:val="20"/>
                <w:szCs w:val="20"/>
                <w:color w:val="auto"/>
              </w:rPr>
            </w:pPr>
            <w:r>
              <w:rPr>
                <w:rFonts w:ascii="Arial" w:cs="Arial" w:eastAsia="Arial" w:hAnsi="Arial"/>
                <w:sz w:val="12"/>
                <w:szCs w:val="12"/>
                <w:b w:val="1"/>
                <w:bCs w:val="1"/>
                <w:color w:val="00A1DF"/>
              </w:rPr>
              <w:t>Vested (#)</w:t>
            </w:r>
          </w:p>
        </w:tc>
        <w:tc>
          <w:tcPr>
            <w:tcW w:w="860" w:type="dxa"/>
            <w:vAlign w:val="bottom"/>
          </w:tcPr>
          <w:p>
            <w:pPr>
              <w:jc w:val="right"/>
              <w:ind w:right="58"/>
              <w:spacing w:after="0"/>
              <w:rPr>
                <w:sz w:val="20"/>
                <w:szCs w:val="20"/>
                <w:color w:val="auto"/>
              </w:rPr>
            </w:pPr>
            <w:r>
              <w:rPr>
                <w:rFonts w:ascii="Arial" w:cs="Arial" w:eastAsia="Arial" w:hAnsi="Arial"/>
                <w:sz w:val="12"/>
                <w:szCs w:val="12"/>
                <w:b w:val="1"/>
                <w:bCs w:val="1"/>
                <w:color w:val="00A1DF"/>
              </w:rPr>
              <w:t>Vested ($)</w:t>
            </w:r>
          </w:p>
        </w:tc>
        <w:tc>
          <w:tcPr>
            <w:tcW w:w="1300" w:type="dxa"/>
            <w:vAlign w:val="bottom"/>
          </w:tcPr>
          <w:p>
            <w:pPr>
              <w:jc w:val="right"/>
              <w:ind w:right="278"/>
              <w:spacing w:after="0"/>
              <w:rPr>
                <w:sz w:val="20"/>
                <w:szCs w:val="20"/>
                <w:color w:val="auto"/>
              </w:rPr>
            </w:pPr>
            <w:r>
              <w:rPr>
                <w:rFonts w:ascii="Arial" w:cs="Arial" w:eastAsia="Arial" w:hAnsi="Arial"/>
                <w:sz w:val="12"/>
                <w:szCs w:val="12"/>
                <w:b w:val="1"/>
                <w:bCs w:val="1"/>
                <w:color w:val="00A1DF"/>
              </w:rPr>
              <w:t>Vested (#)</w:t>
            </w:r>
          </w:p>
        </w:tc>
        <w:tc>
          <w:tcPr>
            <w:tcW w:w="1060" w:type="dxa"/>
            <w:vAlign w:val="bottom"/>
          </w:tcPr>
          <w:p>
            <w:pPr>
              <w:jc w:val="right"/>
              <w:ind w:right="118"/>
              <w:spacing w:after="0"/>
              <w:rPr>
                <w:sz w:val="20"/>
                <w:szCs w:val="20"/>
                <w:color w:val="auto"/>
              </w:rPr>
            </w:pPr>
            <w:r>
              <w:rPr>
                <w:rFonts w:ascii="Arial" w:cs="Arial" w:eastAsia="Arial" w:hAnsi="Arial"/>
                <w:sz w:val="12"/>
                <w:szCs w:val="12"/>
                <w:b w:val="1"/>
                <w:bCs w:val="1"/>
                <w:color w:val="00A1DF"/>
              </w:rPr>
              <w:t>Vested ($)</w:t>
            </w:r>
          </w:p>
        </w:tc>
      </w:tr>
      <w:tr>
        <w:trPr>
          <w:trHeight w:val="71"/>
        </w:trPr>
        <w:tc>
          <w:tcPr>
            <w:tcW w:w="1980" w:type="dxa"/>
            <w:vAlign w:val="bottom"/>
            <w:tcBorders>
              <w:bottom w:val="single" w:sz="8" w:color="00A1DF"/>
            </w:tcBorders>
          </w:tcPr>
          <w:p>
            <w:pPr>
              <w:spacing w:after="0"/>
              <w:rPr>
                <w:sz w:val="6"/>
                <w:szCs w:val="6"/>
                <w:color w:val="auto"/>
              </w:rPr>
            </w:pPr>
          </w:p>
        </w:tc>
        <w:tc>
          <w:tcPr>
            <w:tcW w:w="200" w:type="dxa"/>
            <w:vAlign w:val="bottom"/>
            <w:tcBorders>
              <w:bottom w:val="single" w:sz="8" w:color="00A1DF"/>
            </w:tcBorders>
          </w:tcPr>
          <w:p>
            <w:pPr>
              <w:spacing w:after="0"/>
              <w:rPr>
                <w:sz w:val="6"/>
                <w:szCs w:val="6"/>
                <w:color w:val="auto"/>
              </w:rPr>
            </w:pPr>
          </w:p>
        </w:tc>
        <w:tc>
          <w:tcPr>
            <w:tcW w:w="720" w:type="dxa"/>
            <w:vAlign w:val="bottom"/>
            <w:tcBorders>
              <w:bottom w:val="single" w:sz="8" w:color="00A1DF"/>
            </w:tcBorders>
          </w:tcPr>
          <w:p>
            <w:pPr>
              <w:spacing w:after="0"/>
              <w:rPr>
                <w:sz w:val="6"/>
                <w:szCs w:val="6"/>
                <w:color w:val="auto"/>
              </w:rPr>
            </w:pPr>
          </w:p>
        </w:tc>
        <w:tc>
          <w:tcPr>
            <w:tcW w:w="940" w:type="dxa"/>
            <w:vAlign w:val="bottom"/>
            <w:tcBorders>
              <w:bottom w:val="single" w:sz="8" w:color="00A1DF"/>
            </w:tcBorders>
          </w:tcPr>
          <w:p>
            <w:pPr>
              <w:spacing w:after="0"/>
              <w:rPr>
                <w:sz w:val="6"/>
                <w:szCs w:val="6"/>
                <w:color w:val="auto"/>
              </w:rPr>
            </w:pPr>
          </w:p>
        </w:tc>
        <w:tc>
          <w:tcPr>
            <w:tcW w:w="1240" w:type="dxa"/>
            <w:vAlign w:val="bottom"/>
            <w:tcBorders>
              <w:bottom w:val="single" w:sz="8" w:color="00A1DF"/>
            </w:tcBorders>
          </w:tcPr>
          <w:p>
            <w:pPr>
              <w:spacing w:after="0"/>
              <w:rPr>
                <w:sz w:val="6"/>
                <w:szCs w:val="6"/>
                <w:color w:val="auto"/>
              </w:rPr>
            </w:pPr>
          </w:p>
        </w:tc>
        <w:tc>
          <w:tcPr>
            <w:tcW w:w="740" w:type="dxa"/>
            <w:vAlign w:val="bottom"/>
            <w:tcBorders>
              <w:bottom w:val="single" w:sz="8" w:color="00A1DF"/>
            </w:tcBorders>
          </w:tcPr>
          <w:p>
            <w:pPr>
              <w:spacing w:after="0"/>
              <w:rPr>
                <w:sz w:val="6"/>
                <w:szCs w:val="6"/>
                <w:color w:val="auto"/>
              </w:rPr>
            </w:pPr>
          </w:p>
        </w:tc>
        <w:tc>
          <w:tcPr>
            <w:tcW w:w="780" w:type="dxa"/>
            <w:vAlign w:val="bottom"/>
            <w:tcBorders>
              <w:bottom w:val="single" w:sz="8" w:color="00A1DF"/>
            </w:tcBorders>
          </w:tcPr>
          <w:p>
            <w:pPr>
              <w:spacing w:after="0"/>
              <w:rPr>
                <w:sz w:val="6"/>
                <w:szCs w:val="6"/>
                <w:color w:val="auto"/>
              </w:rPr>
            </w:pPr>
          </w:p>
        </w:tc>
        <w:tc>
          <w:tcPr>
            <w:tcW w:w="220" w:type="dxa"/>
            <w:vAlign w:val="bottom"/>
            <w:tcBorders>
              <w:bottom w:val="single" w:sz="8" w:color="00A1DF"/>
            </w:tcBorders>
          </w:tcPr>
          <w:p>
            <w:pPr>
              <w:spacing w:after="0"/>
              <w:rPr>
                <w:sz w:val="6"/>
                <w:szCs w:val="6"/>
                <w:color w:val="auto"/>
              </w:rPr>
            </w:pPr>
          </w:p>
        </w:tc>
        <w:tc>
          <w:tcPr>
            <w:tcW w:w="880" w:type="dxa"/>
            <w:vAlign w:val="bottom"/>
            <w:tcBorders>
              <w:bottom w:val="single" w:sz="8" w:color="00A1DF"/>
            </w:tcBorders>
          </w:tcPr>
          <w:p>
            <w:pPr>
              <w:spacing w:after="0"/>
              <w:rPr>
                <w:sz w:val="6"/>
                <w:szCs w:val="6"/>
                <w:color w:val="auto"/>
              </w:rPr>
            </w:pPr>
          </w:p>
        </w:tc>
        <w:tc>
          <w:tcPr>
            <w:tcW w:w="860" w:type="dxa"/>
            <w:vAlign w:val="bottom"/>
            <w:tcBorders>
              <w:bottom w:val="single" w:sz="8" w:color="00A1DF"/>
            </w:tcBorders>
          </w:tcPr>
          <w:p>
            <w:pPr>
              <w:spacing w:after="0"/>
              <w:rPr>
                <w:sz w:val="6"/>
                <w:szCs w:val="6"/>
                <w:color w:val="auto"/>
              </w:rPr>
            </w:pPr>
          </w:p>
        </w:tc>
        <w:tc>
          <w:tcPr>
            <w:tcW w:w="1300" w:type="dxa"/>
            <w:vAlign w:val="bottom"/>
            <w:tcBorders>
              <w:bottom w:val="single" w:sz="8" w:color="00A1DF"/>
            </w:tcBorders>
          </w:tcPr>
          <w:p>
            <w:pPr>
              <w:spacing w:after="0"/>
              <w:rPr>
                <w:sz w:val="6"/>
                <w:szCs w:val="6"/>
                <w:color w:val="auto"/>
              </w:rPr>
            </w:pPr>
          </w:p>
        </w:tc>
        <w:tc>
          <w:tcPr>
            <w:tcW w:w="1060" w:type="dxa"/>
            <w:vAlign w:val="bottom"/>
            <w:tcBorders>
              <w:bottom w:val="single" w:sz="8" w:color="00A1DF"/>
            </w:tcBorders>
          </w:tcPr>
          <w:p>
            <w:pPr>
              <w:spacing w:after="0"/>
              <w:rPr>
                <w:sz w:val="6"/>
                <w:szCs w:val="6"/>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Mary T. Barra</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470,000</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271,154</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9,924,236</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137,883</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275,765</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248,189</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9,083,717</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435,074</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217,537</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460,797</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16,865,170</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7/28/2015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2,082,430</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520,607</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31.32</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Dhivya Suryadevara</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141,667</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81,731</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2,991,355</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10/1/2018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33,198</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66,396</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34.20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53,729</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1,966,481</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7,398</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14,795</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13,316</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487,366</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24,599</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12,299</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26,054</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953,576</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7/28/2015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91,107</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22,776</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31.32</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Mark L. Reuss</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160,000</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92,308</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3,378,473</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40,761</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81,522</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73,370</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2,685,342</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135,543</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67,771</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143,557</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5,254,186</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7/28/2015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165,943</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31.32</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Barry L. Engle II</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4/1/2019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31,447</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37.76</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15,890</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581,574</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80,000</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46,154</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1,689,236</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22,142</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44,284</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39,856</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1,458,730</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52,500</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26,250</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55,606</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2,035,180</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10/1/2015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100,885</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50,442</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30.67</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Craig B. Glidden</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80,207</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46,274</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1,693,628</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23,714</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47,428</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42,685</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1,562,271</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78,856</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39,428</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83,520</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3,056,832</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7/28/2015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167,028</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83,514</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31.32</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ind w:left="80"/>
              <w:spacing w:after="0"/>
              <w:rPr>
                <w:sz w:val="20"/>
                <w:szCs w:val="20"/>
                <w:color w:val="auto"/>
              </w:rPr>
            </w:pPr>
            <w:r>
              <w:rPr>
                <w:rFonts w:ascii="Arial" w:cs="Arial" w:eastAsia="Arial" w:hAnsi="Arial"/>
                <w:sz w:val="12"/>
                <w:szCs w:val="12"/>
                <w:color w:val="auto"/>
              </w:rPr>
              <w:t>Alan S. Batey</w:t>
            </w: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2/13/2019</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89,790</w:t>
            </w:r>
            <w:r>
              <w:rPr>
                <w:rFonts w:ascii="Arial" w:cs="Arial" w:eastAsia="Arial" w:hAnsi="Arial"/>
                <w:sz w:val="10"/>
                <w:szCs w:val="10"/>
                <w:color w:val="auto"/>
              </w:rPr>
              <w:t>(2)</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39.00</w:t>
            </w:r>
          </w:p>
        </w:tc>
        <w:tc>
          <w:tcPr>
            <w:tcW w:w="780" w:type="dxa"/>
            <w:vAlign w:val="bottom"/>
          </w:tcPr>
          <w:p>
            <w:pPr>
              <w:jc w:val="right"/>
              <w:spacing w:after="0"/>
              <w:rPr>
                <w:sz w:val="20"/>
                <w:szCs w:val="20"/>
                <w:color w:val="auto"/>
              </w:rPr>
            </w:pPr>
            <w:r>
              <w:rPr>
                <w:rFonts w:ascii="Arial" w:cs="Arial" w:eastAsia="Arial" w:hAnsi="Arial"/>
                <w:sz w:val="12"/>
                <w:szCs w:val="12"/>
                <w:color w:val="auto"/>
              </w:rPr>
              <w:t>2/13/2029</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51,802</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1,895,953</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2/13/2018</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27,111</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54,221</w:t>
            </w:r>
            <w:r>
              <w:rPr>
                <w:rFonts w:ascii="Arial" w:cs="Arial" w:eastAsia="Arial" w:hAnsi="Arial"/>
                <w:sz w:val="10"/>
                <w:szCs w:val="10"/>
                <w:color w:val="auto"/>
              </w:rPr>
              <w:t>(3)</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41.40</w:t>
            </w:r>
          </w:p>
        </w:tc>
        <w:tc>
          <w:tcPr>
            <w:tcW w:w="780" w:type="dxa"/>
            <w:vAlign w:val="bottom"/>
          </w:tcPr>
          <w:p>
            <w:pPr>
              <w:jc w:val="right"/>
              <w:spacing w:after="0"/>
              <w:rPr>
                <w:sz w:val="20"/>
                <w:szCs w:val="20"/>
                <w:color w:val="auto"/>
              </w:rPr>
            </w:pPr>
            <w:r>
              <w:rPr>
                <w:rFonts w:ascii="Arial" w:cs="Arial" w:eastAsia="Arial" w:hAnsi="Arial"/>
                <w:sz w:val="12"/>
                <w:szCs w:val="12"/>
                <w:color w:val="auto"/>
              </w:rPr>
              <w:t>2/11/2028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2"/>
                <w:szCs w:val="12"/>
                <w:color w:val="auto"/>
              </w:rPr>
              <w:t>48,799</w:t>
            </w:r>
            <w:r>
              <w:rPr>
                <w:rFonts w:ascii="Arial" w:cs="Arial" w:eastAsia="Arial" w:hAnsi="Arial"/>
                <w:sz w:val="10"/>
                <w:szCs w:val="10"/>
                <w:color w:val="auto"/>
              </w:rPr>
              <w:t>(7)(8)</w:t>
            </w:r>
          </w:p>
        </w:tc>
        <w:tc>
          <w:tcPr>
            <w:tcW w:w="1060" w:type="dxa"/>
            <w:vAlign w:val="bottom"/>
          </w:tcPr>
          <w:p>
            <w:pPr>
              <w:jc w:val="right"/>
              <w:spacing w:after="0"/>
              <w:rPr>
                <w:sz w:val="20"/>
                <w:szCs w:val="20"/>
                <w:color w:val="auto"/>
              </w:rPr>
            </w:pPr>
            <w:r>
              <w:rPr>
                <w:rFonts w:ascii="Arial" w:cs="Arial" w:eastAsia="Arial" w:hAnsi="Arial"/>
                <w:sz w:val="12"/>
                <w:szCs w:val="12"/>
                <w:color w:val="auto"/>
              </w:rPr>
              <w:t>1,786,043</w:t>
            </w:r>
            <w:r>
              <w:rPr>
                <w:rFonts w:ascii="Arial" w:cs="Arial" w:eastAsia="Arial" w:hAnsi="Arial"/>
                <w:sz w:val="10"/>
                <w:szCs w:val="10"/>
                <w:color w:val="auto"/>
              </w:rPr>
              <w:t>(8)</w:t>
            </w: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6/7/2017</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45,076</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45,075</w:t>
            </w:r>
            <w:r>
              <w:rPr>
                <w:rFonts w:ascii="Arial" w:cs="Arial" w:eastAsia="Arial" w:hAnsi="Arial"/>
                <w:sz w:val="10"/>
                <w:szCs w:val="10"/>
                <w:color w:val="auto"/>
              </w:rPr>
              <w:t>(4)</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34.34</w:t>
            </w:r>
          </w:p>
        </w:tc>
        <w:tc>
          <w:tcPr>
            <w:tcW w:w="780" w:type="dxa"/>
            <w:vAlign w:val="bottom"/>
          </w:tcPr>
          <w:p>
            <w:pPr>
              <w:jc w:val="right"/>
              <w:spacing w:after="0"/>
              <w:rPr>
                <w:sz w:val="20"/>
                <w:szCs w:val="20"/>
                <w:color w:val="auto"/>
              </w:rPr>
            </w:pPr>
            <w:r>
              <w:rPr>
                <w:rFonts w:ascii="Arial" w:cs="Arial" w:eastAsia="Arial" w:hAnsi="Arial"/>
                <w:sz w:val="12"/>
                <w:szCs w:val="12"/>
                <w:color w:val="auto"/>
              </w:rPr>
              <w:t>6/7/2027</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2/14/2017</w:t>
            </w: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95,482</w:t>
            </w:r>
            <w:r>
              <w:rPr>
                <w:rFonts w:ascii="Arial" w:cs="Arial" w:eastAsia="Arial" w:hAnsi="Arial"/>
                <w:sz w:val="10"/>
                <w:szCs w:val="10"/>
                <w:color w:val="auto"/>
              </w:rPr>
              <w:t>(6)</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3,494,641</w:t>
            </w: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8"/>
        </w:trPr>
        <w:tc>
          <w:tcPr>
            <w:tcW w:w="19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90"/>
        </w:trPr>
        <w:tc>
          <w:tcPr>
            <w:tcW w:w="1980" w:type="dxa"/>
            <w:vAlign w:val="bottom"/>
          </w:tcPr>
          <w:p>
            <w:pPr>
              <w:spacing w:after="0"/>
              <w:rPr>
                <w:sz w:val="16"/>
                <w:szCs w:val="16"/>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2"/>
                <w:szCs w:val="12"/>
                <w:color w:val="auto"/>
              </w:rPr>
              <w:t>7/28/2015</w:t>
            </w:r>
          </w:p>
        </w:tc>
        <w:tc>
          <w:tcPr>
            <w:tcW w:w="940" w:type="dxa"/>
            <w:vAlign w:val="bottom"/>
          </w:tcPr>
          <w:p>
            <w:pPr>
              <w:jc w:val="right"/>
              <w:ind w:right="18"/>
              <w:spacing w:after="0"/>
              <w:rPr>
                <w:sz w:val="20"/>
                <w:szCs w:val="20"/>
                <w:color w:val="auto"/>
              </w:rPr>
            </w:pPr>
            <w:r>
              <w:rPr>
                <w:rFonts w:ascii="Arial" w:cs="Arial" w:eastAsia="Arial" w:hAnsi="Arial"/>
                <w:sz w:val="12"/>
                <w:szCs w:val="12"/>
                <w:color w:val="auto"/>
              </w:rPr>
              <w:t>117,137</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117,136</w:t>
            </w:r>
            <w:r>
              <w:rPr>
                <w:rFonts w:ascii="Arial" w:cs="Arial" w:eastAsia="Arial" w:hAnsi="Arial"/>
                <w:sz w:val="10"/>
                <w:szCs w:val="10"/>
                <w:color w:val="auto"/>
              </w:rPr>
              <w:t>(5)</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31.32</w:t>
            </w:r>
          </w:p>
        </w:tc>
        <w:tc>
          <w:tcPr>
            <w:tcW w:w="780" w:type="dxa"/>
            <w:vAlign w:val="bottom"/>
          </w:tcPr>
          <w:p>
            <w:pPr>
              <w:jc w:val="right"/>
              <w:spacing w:after="0"/>
              <w:rPr>
                <w:sz w:val="20"/>
                <w:szCs w:val="20"/>
                <w:color w:val="auto"/>
              </w:rPr>
            </w:pPr>
            <w:r>
              <w:rPr>
                <w:rFonts w:ascii="Arial" w:cs="Arial" w:eastAsia="Arial" w:hAnsi="Arial"/>
                <w:sz w:val="12"/>
                <w:szCs w:val="12"/>
                <w:color w:val="auto"/>
              </w:rPr>
              <w:t>7/28/2025</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36830</wp:posOffset>
            </wp:positionV>
            <wp:extent cx="69297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2" w:lineRule="exact"/>
        <w:rPr>
          <w:sz w:val="20"/>
          <w:szCs w:val="20"/>
          <w:color w:val="auto"/>
        </w:rPr>
      </w:pPr>
    </w:p>
    <w:p>
      <w:pPr>
        <w:ind w:left="600" w:hanging="433"/>
        <w:spacing w:after="0"/>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The awards are valued based on the closing price of common stock on the NYSE on December 31, 2019, which was $36.60.</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Option awards granted on February 13, 2019, and April 1, 2019, vest ratably each February 13 of 2020, 2021, and 2022.</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Option awards granted on February 13, 2018, and October 1, 2018, vest ratably each February 13 of 2019, 2020, and 2021.</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Option awards granted on June 7, 2017, vest ratably each February 14 of 2018, 2019, and 2020.</w:t>
      </w:r>
    </w:p>
    <w:p>
      <w:pPr>
        <w:spacing w:after="0" w:line="73" w:lineRule="exact"/>
        <w:rPr>
          <w:rFonts w:ascii="Arial" w:cs="Arial" w:eastAsia="Arial" w:hAnsi="Arial"/>
          <w:sz w:val="18"/>
          <w:szCs w:val="18"/>
          <w:i w:val="1"/>
          <w:iCs w:val="1"/>
          <w:color w:val="auto"/>
        </w:rPr>
      </w:pPr>
    </w:p>
    <w:p>
      <w:pPr>
        <w:jc w:val="both"/>
        <w:ind w:left="600" w:hanging="433"/>
        <w:spacing w:after="0" w:line="246" w:lineRule="auto"/>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Option awards granted under the DSV option grant on July 28, 2015, and October 1, 2015. This portion represents the 20% of the award that features performance-based vesting and vested on February 15, 2020, for the performance period ending December 31, 2019.</w:t>
      </w:r>
    </w:p>
    <w:p>
      <w:pPr>
        <w:spacing w:after="0" w:line="45" w:lineRule="exact"/>
        <w:rPr>
          <w:rFonts w:ascii="Arial" w:cs="Arial" w:eastAsia="Arial" w:hAnsi="Arial"/>
          <w:sz w:val="18"/>
          <w:szCs w:val="18"/>
          <w:i w:val="1"/>
          <w:iCs w:val="1"/>
          <w:color w:val="auto"/>
        </w:rPr>
      </w:pPr>
    </w:p>
    <w:p>
      <w:pPr>
        <w:jc w:val="both"/>
        <w:ind w:left="600" w:hanging="433"/>
        <w:spacing w:after="0" w:line="246" w:lineRule="auto"/>
        <w:tabs>
          <w:tab w:leader="none" w:pos="6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2017 PSU awards granted on February 14, 2017, cliff-vested on February 14, 2020, upon determination of results for the performance period January 1, 2017–December 31, 2019. The final performance for the 2017–2019 PSU was 176% and is discussed on page 50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83185</wp:posOffset>
            </wp:positionV>
            <wp:extent cx="6793865" cy="1016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66</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jc w:val="both"/>
        <w:ind w:left="600" w:right="20" w:hanging="433"/>
        <w:spacing w:after="0" w:line="242" w:lineRule="auto"/>
        <w:tabs>
          <w:tab w:leader="none" w:pos="60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2019 PSU awards granted on February 13, 2019, and April 1, 2019, cliff-vest on February 13, 2022, upon determination of results for the performance period January 1, 2019–December 31, 2021. 2018 PSU awards granted on February 13, 2018, and October 1, 2018, cliff-vest on February 13, 2021, upon determination of results for the performance period January 1, 2018–December 31, 2020.</w:t>
      </w:r>
    </w:p>
    <w:p>
      <w:pPr>
        <w:spacing w:after="0" w:line="47" w:lineRule="exact"/>
        <w:rPr>
          <w:rFonts w:ascii="Arial" w:cs="Arial" w:eastAsia="Arial" w:hAnsi="Arial"/>
          <w:sz w:val="18"/>
          <w:szCs w:val="18"/>
          <w:i w:val="1"/>
          <w:iCs w:val="1"/>
          <w:color w:val="auto"/>
        </w:rPr>
      </w:pPr>
    </w:p>
    <w:p>
      <w:pPr>
        <w:jc w:val="both"/>
        <w:ind w:left="600" w:right="20" w:hanging="433"/>
        <w:spacing w:after="0" w:line="236" w:lineRule="auto"/>
        <w:tabs>
          <w:tab w:leader="none" w:pos="60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Assumes target-level payout of PSU awards. If maximum-level payout of PSU awards, the number of shares (and market value of such shares) with respect to unvested 2018–2020 PSUs and 2019–2021 PSUs outstanding as of December 31, 2019, was for Ms. Barra 496,378 ($18,167,435) and 542,308 ($19,848,473); for Mr. Reuss 146,740 ($5,370,684) and 184,616 ($6,756,946); for Mr. Glidden 85,370 ($3,124,542) and 92,548 ($3,387,257); and for Mr. Batey 97,598 ($3,572,087) and 103,604 ($3,791,906), respectively. For Ms. Suryadevara, the number of shares (and market value of such shares) for maximum-level payout with respect to unvested 2018–2020 PSUs granted on February 13, 2018, 2018–2020 PSUs granted on October 1, 2018, and 2019-2021 PSUs, outstanding as of December 31, 2019, was 26,632 ($974,731); 107,458 ($3,932,963); and 163,462 ($5,982,709), respectively. For Mr. Engle, the number of shares (and market value of such shares) for maximum-level payout with respect to unvested 2018–2020 PSUs, 2019–2021 PSUs granted on February 13, 2019, and 2019-2021 PSUs granted on April 1, 2019, outstanding as of December 31, 2019, was 79,712 ($2,917,459); 92,308 ($3,378,473); and 31,780 ($1,163,148), respectively.</w:t>
      </w:r>
    </w:p>
    <w:p>
      <w:pPr>
        <w:spacing w:after="0" w:line="325" w:lineRule="exact"/>
        <w:rPr>
          <w:sz w:val="20"/>
          <w:szCs w:val="20"/>
          <w:color w:val="auto"/>
        </w:rPr>
      </w:pPr>
    </w:p>
    <w:p>
      <w:pPr>
        <w:ind w:left="700" w:hanging="533"/>
        <w:spacing w:after="0"/>
        <w:tabs>
          <w:tab w:leader="none" w:pos="700" w:val="left"/>
        </w:tabs>
        <w:numPr>
          <w:ilvl w:val="0"/>
          <w:numId w:val="113"/>
        </w:numPr>
        <w:rPr>
          <w:rFonts w:ascii="Arial" w:cs="Arial" w:eastAsia="Arial" w:hAnsi="Arial"/>
          <w:sz w:val="25"/>
          <w:szCs w:val="25"/>
          <w:color w:val="0033A0"/>
        </w:rPr>
      </w:pPr>
      <w:r>
        <w:rPr>
          <w:rFonts w:ascii="Arial" w:cs="Arial" w:eastAsia="Arial" w:hAnsi="Arial"/>
          <w:sz w:val="25"/>
          <w:szCs w:val="25"/>
          <w:color w:val="auto"/>
        </w:rPr>
        <w:t>Option Exercises and Stock Vested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2300" w:type="dxa"/>
            <w:vAlign w:val="bottom"/>
            <w:tcBorders>
              <w:top w:val="single" w:sz="8" w:color="00A1DF"/>
            </w:tcBorders>
          </w:tcPr>
          <w:p>
            <w:pPr>
              <w:spacing w:after="0"/>
              <w:rPr>
                <w:sz w:val="20"/>
                <w:szCs w:val="20"/>
                <w:color w:val="auto"/>
              </w:rPr>
            </w:pPr>
          </w:p>
        </w:tc>
        <w:tc>
          <w:tcPr>
            <w:tcW w:w="4460" w:type="dxa"/>
            <w:vAlign w:val="bottom"/>
            <w:tcBorders>
              <w:top w:val="single" w:sz="8" w:color="00A1DF"/>
            </w:tcBorders>
            <w:gridSpan w:val="3"/>
          </w:tcPr>
          <w:p>
            <w:pPr>
              <w:ind w:left="1160"/>
              <w:spacing w:after="0"/>
              <w:rPr>
                <w:sz w:val="20"/>
                <w:szCs w:val="20"/>
                <w:color w:val="auto"/>
              </w:rPr>
            </w:pPr>
            <w:r>
              <w:rPr>
                <w:rFonts w:ascii="Arial" w:cs="Arial" w:eastAsia="Arial" w:hAnsi="Arial"/>
                <w:sz w:val="20"/>
                <w:szCs w:val="20"/>
                <w:b w:val="1"/>
                <w:bCs w:val="1"/>
                <w:color w:val="00A1DF"/>
              </w:rPr>
              <w:t>Option Awards</w:t>
            </w:r>
            <w:r>
              <w:rPr>
                <w:rFonts w:ascii="Arial" w:cs="Arial" w:eastAsia="Arial" w:hAnsi="Arial"/>
                <w:sz w:val="16"/>
                <w:szCs w:val="16"/>
                <w:b w:val="1"/>
                <w:bCs w:val="1"/>
                <w:color w:val="00A1DF"/>
              </w:rPr>
              <w:t>(1)</w:t>
            </w:r>
          </w:p>
        </w:tc>
        <w:tc>
          <w:tcPr>
            <w:tcW w:w="4160" w:type="dxa"/>
            <w:vAlign w:val="bottom"/>
            <w:tcBorders>
              <w:top w:val="single" w:sz="8" w:color="00A1DF"/>
            </w:tcBorders>
            <w:gridSpan w:val="2"/>
          </w:tcPr>
          <w:p>
            <w:pPr>
              <w:jc w:val="right"/>
              <w:ind w:right="1322"/>
              <w:spacing w:after="0"/>
              <w:rPr>
                <w:sz w:val="20"/>
                <w:szCs w:val="20"/>
                <w:color w:val="auto"/>
              </w:rPr>
            </w:pPr>
            <w:r>
              <w:rPr>
                <w:rFonts w:ascii="Arial" w:cs="Arial" w:eastAsia="Arial" w:hAnsi="Arial"/>
                <w:sz w:val="20"/>
                <w:szCs w:val="20"/>
                <w:b w:val="1"/>
                <w:bCs w:val="1"/>
                <w:color w:val="00A1DF"/>
              </w:rPr>
              <w:t>Stock Awards</w:t>
            </w:r>
            <w:r>
              <w:rPr>
                <w:rFonts w:ascii="Arial" w:cs="Arial" w:eastAsia="Arial" w:hAnsi="Arial"/>
                <w:sz w:val="16"/>
                <w:szCs w:val="16"/>
                <w:b w:val="1"/>
                <w:bCs w:val="1"/>
                <w:color w:val="00A1DF"/>
              </w:rPr>
              <w:t>(2)</w:t>
            </w:r>
          </w:p>
        </w:tc>
      </w:tr>
      <w:tr>
        <w:trPr>
          <w:trHeight w:val="180"/>
        </w:trPr>
        <w:tc>
          <w:tcPr>
            <w:tcW w:w="2300" w:type="dxa"/>
            <w:vAlign w:val="bottom"/>
          </w:tcPr>
          <w:p>
            <w:pPr>
              <w:spacing w:after="0"/>
              <w:rPr>
                <w:sz w:val="15"/>
                <w:szCs w:val="15"/>
                <w:color w:val="auto"/>
              </w:rPr>
            </w:pPr>
          </w:p>
        </w:tc>
        <w:tc>
          <w:tcPr>
            <w:tcW w:w="1980" w:type="dxa"/>
            <w:vAlign w:val="bottom"/>
            <w:tcBorders>
              <w:top w:val="single" w:sz="8" w:color="00A1DF"/>
            </w:tcBorders>
          </w:tcPr>
          <w:p>
            <w:pPr>
              <w:jc w:val="right"/>
              <w:ind w:right="182"/>
              <w:spacing w:after="0" w:line="180" w:lineRule="exact"/>
              <w:rPr>
                <w:sz w:val="20"/>
                <w:szCs w:val="20"/>
                <w:color w:val="auto"/>
              </w:rPr>
            </w:pPr>
            <w:r>
              <w:rPr>
                <w:rFonts w:ascii="Arial" w:cs="Arial" w:eastAsia="Arial" w:hAnsi="Arial"/>
                <w:sz w:val="20"/>
                <w:szCs w:val="20"/>
                <w:b w:val="1"/>
                <w:bCs w:val="1"/>
                <w:color w:val="00A1DF"/>
                <w:w w:val="97"/>
              </w:rPr>
              <w:t>Number of Shares</w:t>
            </w:r>
          </w:p>
        </w:tc>
        <w:tc>
          <w:tcPr>
            <w:tcW w:w="2000" w:type="dxa"/>
            <w:vAlign w:val="bottom"/>
            <w:tcBorders>
              <w:top w:val="single" w:sz="8" w:color="00A1DF"/>
            </w:tcBorders>
          </w:tcPr>
          <w:p>
            <w:pPr>
              <w:jc w:val="right"/>
              <w:spacing w:after="0" w:line="180" w:lineRule="exact"/>
              <w:rPr>
                <w:sz w:val="20"/>
                <w:szCs w:val="20"/>
                <w:color w:val="auto"/>
              </w:rPr>
            </w:pPr>
            <w:r>
              <w:rPr>
                <w:rFonts w:ascii="Arial" w:cs="Arial" w:eastAsia="Arial" w:hAnsi="Arial"/>
                <w:sz w:val="20"/>
                <w:szCs w:val="20"/>
                <w:b w:val="1"/>
                <w:bCs w:val="1"/>
                <w:color w:val="00A1DF"/>
              </w:rPr>
              <w:t>Value Realized on</w:t>
            </w:r>
          </w:p>
        </w:tc>
        <w:tc>
          <w:tcPr>
            <w:tcW w:w="480" w:type="dxa"/>
            <w:vAlign w:val="bottom"/>
          </w:tcPr>
          <w:p>
            <w:pPr>
              <w:spacing w:after="0"/>
              <w:rPr>
                <w:sz w:val="15"/>
                <w:szCs w:val="15"/>
                <w:color w:val="auto"/>
              </w:rPr>
            </w:pPr>
          </w:p>
        </w:tc>
        <w:tc>
          <w:tcPr>
            <w:tcW w:w="2120" w:type="dxa"/>
            <w:vAlign w:val="bottom"/>
            <w:tcBorders>
              <w:top w:val="single" w:sz="8" w:color="00A1DF"/>
            </w:tcBorders>
          </w:tcPr>
          <w:p>
            <w:pPr>
              <w:jc w:val="right"/>
              <w:ind w:right="122"/>
              <w:spacing w:after="0" w:line="180" w:lineRule="exact"/>
              <w:rPr>
                <w:sz w:val="20"/>
                <w:szCs w:val="20"/>
                <w:color w:val="auto"/>
              </w:rPr>
            </w:pPr>
            <w:r>
              <w:rPr>
                <w:rFonts w:ascii="Arial" w:cs="Arial" w:eastAsia="Arial" w:hAnsi="Arial"/>
                <w:sz w:val="20"/>
                <w:szCs w:val="20"/>
                <w:b w:val="1"/>
                <w:bCs w:val="1"/>
                <w:color w:val="00A1DF"/>
              </w:rPr>
              <w:t>Number of Shares</w:t>
            </w:r>
          </w:p>
        </w:tc>
        <w:tc>
          <w:tcPr>
            <w:tcW w:w="2040" w:type="dxa"/>
            <w:vAlign w:val="bottom"/>
            <w:tcBorders>
              <w:top w:val="single" w:sz="8" w:color="00A1DF"/>
            </w:tcBorders>
          </w:tcPr>
          <w:p>
            <w:pPr>
              <w:jc w:val="right"/>
              <w:ind w:right="82"/>
              <w:spacing w:after="0" w:line="180" w:lineRule="exact"/>
              <w:rPr>
                <w:sz w:val="20"/>
                <w:szCs w:val="20"/>
                <w:color w:val="auto"/>
              </w:rPr>
            </w:pPr>
            <w:r>
              <w:rPr>
                <w:rFonts w:ascii="Arial" w:cs="Arial" w:eastAsia="Arial" w:hAnsi="Arial"/>
                <w:sz w:val="20"/>
                <w:szCs w:val="20"/>
                <w:b w:val="1"/>
                <w:bCs w:val="1"/>
                <w:color w:val="00A1DF"/>
              </w:rPr>
              <w:t>Value Realized on</w:t>
            </w:r>
          </w:p>
        </w:tc>
      </w:tr>
      <w:tr>
        <w:trPr>
          <w:trHeight w:val="214"/>
        </w:trPr>
        <w:tc>
          <w:tcPr>
            <w:tcW w:w="2300" w:type="dxa"/>
            <w:vAlign w:val="bottom"/>
          </w:tcPr>
          <w:p>
            <w:pPr>
              <w:spacing w:after="0"/>
              <w:rPr>
                <w:sz w:val="18"/>
                <w:szCs w:val="18"/>
                <w:color w:val="auto"/>
              </w:rPr>
            </w:pPr>
          </w:p>
        </w:tc>
        <w:tc>
          <w:tcPr>
            <w:tcW w:w="1980" w:type="dxa"/>
            <w:vAlign w:val="bottom"/>
          </w:tcPr>
          <w:p>
            <w:pPr>
              <w:jc w:val="right"/>
              <w:ind w:right="182"/>
              <w:spacing w:after="0" w:line="214" w:lineRule="exact"/>
              <w:rPr>
                <w:sz w:val="20"/>
                <w:szCs w:val="20"/>
                <w:color w:val="auto"/>
              </w:rPr>
            </w:pPr>
            <w:r>
              <w:rPr>
                <w:rFonts w:ascii="Arial" w:cs="Arial" w:eastAsia="Arial" w:hAnsi="Arial"/>
                <w:sz w:val="20"/>
                <w:szCs w:val="20"/>
                <w:b w:val="1"/>
                <w:bCs w:val="1"/>
                <w:color w:val="00A1DF"/>
              </w:rPr>
              <w:t>Acquired on</w:t>
            </w:r>
          </w:p>
        </w:tc>
        <w:tc>
          <w:tcPr>
            <w:tcW w:w="2480" w:type="dxa"/>
            <w:vAlign w:val="bottom"/>
            <w:gridSpan w:val="2"/>
          </w:tcPr>
          <w:p>
            <w:pPr>
              <w:jc w:val="right"/>
              <w:ind w:right="540"/>
              <w:spacing w:after="0" w:line="214" w:lineRule="exact"/>
              <w:rPr>
                <w:sz w:val="20"/>
                <w:szCs w:val="20"/>
                <w:color w:val="auto"/>
              </w:rPr>
            </w:pPr>
            <w:r>
              <w:rPr>
                <w:rFonts w:ascii="Arial" w:cs="Arial" w:eastAsia="Arial" w:hAnsi="Arial"/>
                <w:sz w:val="20"/>
                <w:szCs w:val="20"/>
                <w:b w:val="1"/>
                <w:bCs w:val="1"/>
                <w:color w:val="00A1DF"/>
              </w:rPr>
              <w:t>Exercise</w:t>
            </w:r>
          </w:p>
        </w:tc>
        <w:tc>
          <w:tcPr>
            <w:tcW w:w="2120" w:type="dxa"/>
            <w:vAlign w:val="bottom"/>
          </w:tcPr>
          <w:p>
            <w:pPr>
              <w:jc w:val="right"/>
              <w:ind w:right="122"/>
              <w:spacing w:after="0" w:line="214" w:lineRule="exact"/>
              <w:rPr>
                <w:sz w:val="20"/>
                <w:szCs w:val="20"/>
                <w:color w:val="auto"/>
              </w:rPr>
            </w:pPr>
            <w:r>
              <w:rPr>
                <w:rFonts w:ascii="Arial" w:cs="Arial" w:eastAsia="Arial" w:hAnsi="Arial"/>
                <w:sz w:val="20"/>
                <w:szCs w:val="20"/>
                <w:b w:val="1"/>
                <w:bCs w:val="1"/>
                <w:color w:val="00A1DF"/>
                <w:w w:val="96"/>
              </w:rPr>
              <w:t>Acquired on Vesting</w:t>
            </w:r>
          </w:p>
        </w:tc>
        <w:tc>
          <w:tcPr>
            <w:tcW w:w="2040" w:type="dxa"/>
            <w:vAlign w:val="bottom"/>
          </w:tcPr>
          <w:p>
            <w:pPr>
              <w:jc w:val="right"/>
              <w:ind w:right="82"/>
              <w:spacing w:after="0" w:line="214" w:lineRule="exact"/>
              <w:rPr>
                <w:sz w:val="20"/>
                <w:szCs w:val="20"/>
                <w:color w:val="auto"/>
              </w:rPr>
            </w:pPr>
            <w:r>
              <w:rPr>
                <w:rFonts w:ascii="Arial" w:cs="Arial" w:eastAsia="Arial" w:hAnsi="Arial"/>
                <w:sz w:val="20"/>
                <w:szCs w:val="20"/>
                <w:b w:val="1"/>
                <w:bCs w:val="1"/>
                <w:color w:val="00A1DF"/>
              </w:rPr>
              <w:t>Vesting</w:t>
            </w:r>
          </w:p>
        </w:tc>
      </w:tr>
      <w:tr>
        <w:trPr>
          <w:trHeight w:val="273"/>
        </w:trPr>
        <w:tc>
          <w:tcPr>
            <w:tcW w:w="2300" w:type="dxa"/>
            <w:vAlign w:val="bottom"/>
          </w:tcPr>
          <w:p>
            <w:pPr>
              <w:spacing w:after="0"/>
              <w:rPr>
                <w:sz w:val="20"/>
                <w:szCs w:val="20"/>
                <w:color w:val="auto"/>
              </w:rPr>
            </w:pPr>
            <w:r>
              <w:rPr>
                <w:rFonts w:ascii="Arial" w:cs="Arial" w:eastAsia="Arial" w:hAnsi="Arial"/>
                <w:sz w:val="20"/>
                <w:szCs w:val="20"/>
                <w:b w:val="1"/>
                <w:bCs w:val="1"/>
                <w:color w:val="00A1DF"/>
              </w:rPr>
              <w:t>Name</w:t>
            </w:r>
          </w:p>
        </w:tc>
        <w:tc>
          <w:tcPr>
            <w:tcW w:w="1980" w:type="dxa"/>
            <w:vAlign w:val="bottom"/>
          </w:tcPr>
          <w:p>
            <w:pPr>
              <w:jc w:val="right"/>
              <w:ind w:right="182"/>
              <w:spacing w:after="0"/>
              <w:rPr>
                <w:sz w:val="20"/>
                <w:szCs w:val="20"/>
                <w:color w:val="auto"/>
              </w:rPr>
            </w:pPr>
            <w:r>
              <w:rPr>
                <w:rFonts w:ascii="Arial" w:cs="Arial" w:eastAsia="Arial" w:hAnsi="Arial"/>
                <w:sz w:val="20"/>
                <w:szCs w:val="20"/>
                <w:b w:val="1"/>
                <w:bCs w:val="1"/>
                <w:color w:val="00A1DF"/>
              </w:rPr>
              <w:t>Exercise (#)</w:t>
            </w:r>
          </w:p>
        </w:tc>
        <w:tc>
          <w:tcPr>
            <w:tcW w:w="2000" w:type="dxa"/>
            <w:vAlign w:val="bottom"/>
          </w:tcPr>
          <w:p>
            <w:pPr>
              <w:jc w:val="right"/>
              <w:spacing w:after="0"/>
              <w:rPr>
                <w:sz w:val="20"/>
                <w:szCs w:val="20"/>
                <w:color w:val="auto"/>
              </w:rPr>
            </w:pPr>
            <w:r>
              <w:rPr>
                <w:rFonts w:ascii="Arial" w:cs="Arial" w:eastAsia="Arial" w:hAnsi="Arial"/>
                <w:sz w:val="20"/>
                <w:szCs w:val="20"/>
                <w:b w:val="1"/>
                <w:bCs w:val="1"/>
                <w:color w:val="00A1DF"/>
              </w:rPr>
              <w:t>($)</w:t>
            </w:r>
          </w:p>
        </w:tc>
        <w:tc>
          <w:tcPr>
            <w:tcW w:w="480" w:type="dxa"/>
            <w:vAlign w:val="bottom"/>
          </w:tcPr>
          <w:p>
            <w:pPr>
              <w:spacing w:after="0"/>
              <w:rPr>
                <w:sz w:val="23"/>
                <w:szCs w:val="23"/>
                <w:color w:val="auto"/>
              </w:rPr>
            </w:pPr>
          </w:p>
        </w:tc>
        <w:tc>
          <w:tcPr>
            <w:tcW w:w="2120" w:type="dxa"/>
            <w:vAlign w:val="bottom"/>
          </w:tcPr>
          <w:p>
            <w:pPr>
              <w:jc w:val="right"/>
              <w:ind w:right="122"/>
              <w:spacing w:after="0"/>
              <w:rPr>
                <w:sz w:val="20"/>
                <w:szCs w:val="20"/>
                <w:color w:val="auto"/>
              </w:rPr>
            </w:pPr>
            <w:r>
              <w:rPr>
                <w:rFonts w:ascii="Arial" w:cs="Arial" w:eastAsia="Arial" w:hAnsi="Arial"/>
                <w:sz w:val="20"/>
                <w:szCs w:val="20"/>
                <w:b w:val="1"/>
                <w:bCs w:val="1"/>
                <w:color w:val="00A1DF"/>
              </w:rPr>
              <w:t>(#)</w:t>
            </w:r>
          </w:p>
        </w:tc>
        <w:tc>
          <w:tcPr>
            <w:tcW w:w="2040" w:type="dxa"/>
            <w:vAlign w:val="bottom"/>
          </w:tcPr>
          <w:p>
            <w:pPr>
              <w:jc w:val="right"/>
              <w:ind w:right="82"/>
              <w:spacing w:after="0"/>
              <w:rPr>
                <w:sz w:val="20"/>
                <w:szCs w:val="20"/>
                <w:color w:val="auto"/>
              </w:rPr>
            </w:pPr>
            <w:r>
              <w:rPr>
                <w:rFonts w:ascii="Arial" w:cs="Arial" w:eastAsia="Arial" w:hAnsi="Arial"/>
                <w:sz w:val="20"/>
                <w:szCs w:val="20"/>
                <w:b w:val="1"/>
                <w:bCs w:val="1"/>
                <w:color w:val="00A1DF"/>
              </w:rPr>
              <w:t>($)</w:t>
            </w:r>
          </w:p>
        </w:tc>
      </w:tr>
      <w:tr>
        <w:trPr>
          <w:trHeight w:val="62"/>
        </w:trPr>
        <w:tc>
          <w:tcPr>
            <w:tcW w:w="2300" w:type="dxa"/>
            <w:vAlign w:val="bottom"/>
            <w:tcBorders>
              <w:bottom w:val="single" w:sz="8" w:color="00A1DF"/>
            </w:tcBorders>
          </w:tcPr>
          <w:p>
            <w:pPr>
              <w:spacing w:after="0"/>
              <w:rPr>
                <w:sz w:val="5"/>
                <w:szCs w:val="5"/>
                <w:color w:val="auto"/>
              </w:rPr>
            </w:pPr>
          </w:p>
        </w:tc>
        <w:tc>
          <w:tcPr>
            <w:tcW w:w="1980" w:type="dxa"/>
            <w:vAlign w:val="bottom"/>
            <w:tcBorders>
              <w:bottom w:val="single" w:sz="8" w:color="00A1DF"/>
            </w:tcBorders>
          </w:tcPr>
          <w:p>
            <w:pPr>
              <w:spacing w:after="0"/>
              <w:rPr>
                <w:sz w:val="5"/>
                <w:szCs w:val="5"/>
                <w:color w:val="auto"/>
              </w:rPr>
            </w:pPr>
          </w:p>
        </w:tc>
        <w:tc>
          <w:tcPr>
            <w:tcW w:w="2000" w:type="dxa"/>
            <w:vAlign w:val="bottom"/>
            <w:tcBorders>
              <w:bottom w:val="single" w:sz="8" w:color="00A1DF"/>
            </w:tcBorders>
          </w:tcPr>
          <w:p>
            <w:pPr>
              <w:spacing w:after="0"/>
              <w:rPr>
                <w:sz w:val="5"/>
                <w:szCs w:val="5"/>
                <w:color w:val="auto"/>
              </w:rPr>
            </w:pPr>
          </w:p>
        </w:tc>
        <w:tc>
          <w:tcPr>
            <w:tcW w:w="480" w:type="dxa"/>
            <w:vAlign w:val="bottom"/>
            <w:tcBorders>
              <w:bottom w:val="single" w:sz="8" w:color="00A1DF"/>
            </w:tcBorders>
          </w:tcPr>
          <w:p>
            <w:pPr>
              <w:spacing w:after="0"/>
              <w:rPr>
                <w:sz w:val="5"/>
                <w:szCs w:val="5"/>
                <w:color w:val="auto"/>
              </w:rPr>
            </w:pPr>
          </w:p>
        </w:tc>
        <w:tc>
          <w:tcPr>
            <w:tcW w:w="2120" w:type="dxa"/>
            <w:vAlign w:val="bottom"/>
            <w:tcBorders>
              <w:bottom w:val="single" w:sz="8" w:color="00A1DF"/>
            </w:tcBorders>
          </w:tcPr>
          <w:p>
            <w:pPr>
              <w:spacing w:after="0"/>
              <w:rPr>
                <w:sz w:val="5"/>
                <w:szCs w:val="5"/>
                <w:color w:val="auto"/>
              </w:rPr>
            </w:pPr>
          </w:p>
        </w:tc>
        <w:tc>
          <w:tcPr>
            <w:tcW w:w="2040" w:type="dxa"/>
            <w:vAlign w:val="bottom"/>
            <w:tcBorders>
              <w:bottom w:val="single" w:sz="8" w:color="00A1DF"/>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Mary T. Barra</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623,181</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24,117,105</w:t>
            </w:r>
          </w:p>
        </w:tc>
      </w:tr>
      <w:tr>
        <w:trPr>
          <w:trHeight w:val="62"/>
        </w:trPr>
        <w:tc>
          <w:tcPr>
            <w:tcW w:w="23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Dhivya Suryadevara</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35,235</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1,363,595</w:t>
            </w:r>
          </w:p>
        </w:tc>
      </w:tr>
      <w:tr>
        <w:trPr>
          <w:trHeight w:val="62"/>
        </w:trPr>
        <w:tc>
          <w:tcPr>
            <w:tcW w:w="23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Mark L. Reuss</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165,944</w:t>
            </w:r>
          </w:p>
        </w:tc>
        <w:tc>
          <w:tcPr>
            <w:tcW w:w="2000" w:type="dxa"/>
            <w:vAlign w:val="bottom"/>
          </w:tcPr>
          <w:p>
            <w:pPr>
              <w:jc w:val="right"/>
              <w:spacing w:after="0"/>
              <w:rPr>
                <w:sz w:val="20"/>
                <w:szCs w:val="20"/>
                <w:color w:val="auto"/>
              </w:rPr>
            </w:pPr>
            <w:r>
              <w:rPr>
                <w:rFonts w:ascii="Arial" w:cs="Arial" w:eastAsia="Arial" w:hAnsi="Arial"/>
                <w:sz w:val="20"/>
                <w:szCs w:val="20"/>
                <w:color w:val="auto"/>
              </w:rPr>
              <w:t>1,445,737</w:t>
            </w:r>
          </w:p>
        </w:tc>
        <w:tc>
          <w:tcPr>
            <w:tcW w:w="480" w:type="dxa"/>
            <w:vAlign w:val="bottom"/>
          </w:tcPr>
          <w:p>
            <w:pPr>
              <w:spacing w:after="0"/>
              <w:rPr>
                <w:sz w:val="24"/>
                <w:szCs w:val="24"/>
                <w:color w:val="auto"/>
              </w:rPr>
            </w:pP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186,955</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7,235,159</w:t>
            </w:r>
          </w:p>
        </w:tc>
      </w:tr>
      <w:tr>
        <w:trPr>
          <w:trHeight w:val="62"/>
        </w:trPr>
        <w:tc>
          <w:tcPr>
            <w:tcW w:w="23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Barry L. Engle II</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68,312</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2,643,674</w:t>
            </w:r>
          </w:p>
        </w:tc>
      </w:tr>
      <w:tr>
        <w:trPr>
          <w:trHeight w:val="62"/>
        </w:trPr>
        <w:tc>
          <w:tcPr>
            <w:tcW w:w="23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Craig B. Glidden</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112,653</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4,359,671</w:t>
            </w:r>
          </w:p>
        </w:tc>
      </w:tr>
      <w:tr>
        <w:trPr>
          <w:trHeight w:val="62"/>
        </w:trPr>
        <w:tc>
          <w:tcPr>
            <w:tcW w:w="23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Alan S. Batey</w:t>
            </w:r>
          </w:p>
        </w:tc>
        <w:tc>
          <w:tcPr>
            <w:tcW w:w="198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24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22"/>
              <w:spacing w:after="0"/>
              <w:rPr>
                <w:sz w:val="20"/>
                <w:szCs w:val="20"/>
                <w:color w:val="auto"/>
              </w:rPr>
            </w:pPr>
            <w:r>
              <w:rPr>
                <w:rFonts w:ascii="Arial" w:cs="Arial" w:eastAsia="Arial" w:hAnsi="Arial"/>
                <w:sz w:val="20"/>
                <w:szCs w:val="20"/>
                <w:color w:val="auto"/>
              </w:rPr>
              <w:t>129,432</w:t>
            </w:r>
          </w:p>
        </w:tc>
        <w:tc>
          <w:tcPr>
            <w:tcW w:w="2040" w:type="dxa"/>
            <w:vAlign w:val="bottom"/>
          </w:tcPr>
          <w:p>
            <w:pPr>
              <w:jc w:val="right"/>
              <w:ind w:right="82"/>
              <w:spacing w:after="0"/>
              <w:rPr>
                <w:sz w:val="20"/>
                <w:szCs w:val="20"/>
                <w:color w:val="auto"/>
              </w:rPr>
            </w:pPr>
            <w:r>
              <w:rPr>
                <w:rFonts w:ascii="Arial" w:cs="Arial" w:eastAsia="Arial" w:hAnsi="Arial"/>
                <w:sz w:val="20"/>
                <w:szCs w:val="20"/>
                <w:color w:val="auto"/>
              </w:rPr>
              <w:t>5,009,018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right="20" w:hanging="433"/>
        <w:spacing w:after="0" w:line="260" w:lineRule="auto"/>
        <w:tabs>
          <w:tab w:leader="none" w:pos="60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The aggregate dollar value realized upon exercise is computed by multiplying the number of shares at exercise by the difference between the market price of common stock and the exercise price of the options.</w:t>
      </w:r>
    </w:p>
    <w:p>
      <w:pPr>
        <w:spacing w:after="0" w:line="32" w:lineRule="exact"/>
        <w:rPr>
          <w:rFonts w:ascii="Arial" w:cs="Arial" w:eastAsia="Arial" w:hAnsi="Arial"/>
          <w:sz w:val="18"/>
          <w:szCs w:val="18"/>
          <w:i w:val="1"/>
          <w:iCs w:val="1"/>
          <w:color w:val="auto"/>
        </w:rPr>
      </w:pPr>
    </w:p>
    <w:p>
      <w:pPr>
        <w:ind w:left="600" w:right="20" w:hanging="433"/>
        <w:spacing w:after="0" w:line="260" w:lineRule="auto"/>
        <w:tabs>
          <w:tab w:leader="none" w:pos="60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The aggregate dollar value realized upon vesting is computed by multiplying the number of shares vested by the closing stock price on the vesting date.</w:t>
      </w:r>
    </w:p>
    <w:p>
      <w:pPr>
        <w:spacing w:after="0" w:line="307" w:lineRule="exact"/>
        <w:rPr>
          <w:sz w:val="20"/>
          <w:szCs w:val="20"/>
          <w:color w:val="auto"/>
        </w:rPr>
      </w:pPr>
    </w:p>
    <w:p>
      <w:pPr>
        <w:ind w:left="700" w:hanging="533"/>
        <w:spacing w:after="0"/>
        <w:tabs>
          <w:tab w:leader="none" w:pos="700" w:val="left"/>
        </w:tabs>
        <w:numPr>
          <w:ilvl w:val="0"/>
          <w:numId w:val="115"/>
        </w:numPr>
        <w:rPr>
          <w:rFonts w:ascii="Arial" w:cs="Arial" w:eastAsia="Arial" w:hAnsi="Arial"/>
          <w:sz w:val="25"/>
          <w:szCs w:val="25"/>
          <w:color w:val="0033A0"/>
        </w:rPr>
      </w:pPr>
      <w:r>
        <w:rPr>
          <w:rFonts w:ascii="Arial" w:cs="Arial" w:eastAsia="Arial" w:hAnsi="Arial"/>
          <w:sz w:val="25"/>
          <w:szCs w:val="25"/>
          <w:color w:val="auto"/>
        </w:rPr>
        <w:t>Pension Benefits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3"/>
          <w:szCs w:val="23"/>
          <w:color w:val="00A1DF"/>
        </w:rPr>
        <w:t>GM Salaried Retirement Plan</w:t>
      </w:r>
    </w:p>
    <w:p>
      <w:pPr>
        <w:spacing w:after="0" w:line="118"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20"/>
          <w:szCs w:val="20"/>
          <w:b w:val="1"/>
          <w:bCs w:val="1"/>
          <w:color w:val="0033A0"/>
        </w:rPr>
        <w:t xml:space="preserve">Eligibility and Vesting: </w:t>
      </w:r>
      <w:r>
        <w:rPr>
          <w:rFonts w:ascii="Arial" w:cs="Arial" w:eastAsia="Arial" w:hAnsi="Arial"/>
          <w:sz w:val="20"/>
          <w:szCs w:val="20"/>
          <w:color w:val="000000"/>
        </w:rPr>
        <w:t>The GM Salaried Retirement Plan (“SRP”) is a funded, tax-qualified retirement program that covers</w:t>
      </w:r>
      <w:r>
        <w:rPr>
          <w:rFonts w:ascii="Arial" w:cs="Arial" w:eastAsia="Arial" w:hAnsi="Arial"/>
          <w:sz w:val="20"/>
          <w:szCs w:val="20"/>
          <w:b w:val="1"/>
          <w:bCs w:val="1"/>
          <w:color w:val="0033A0"/>
        </w:rPr>
        <w:t xml:space="preserve"> </w:t>
      </w:r>
      <w:r>
        <w:rPr>
          <w:rFonts w:ascii="Arial" w:cs="Arial" w:eastAsia="Arial" w:hAnsi="Arial"/>
          <w:sz w:val="20"/>
          <w:szCs w:val="20"/>
          <w:color w:val="000000"/>
        </w:rPr>
        <w:t>eligible employees hired prior to January 1, 2007. Employees who commenced service on or after January 1, 2007 are eligible to participate only in defined contribution plans. Employees are vested in the SRP after five years of qualifying service. The plan permitted employee contributions, which vested immediately, until December 31, 2006. All Defined Benefit accruals were frozen on September 30, 2012 with service continuing towards eligibility to retire.</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Benefit Formula:</w:t>
      </w:r>
    </w:p>
    <w:p>
      <w:pPr>
        <w:spacing w:after="0" w:line="131"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20"/>
          <w:szCs w:val="20"/>
          <w:b w:val="1"/>
          <w:bCs w:val="1"/>
          <w:color w:val="0033A0"/>
        </w:rPr>
        <w:t xml:space="preserve">Service Prior to January 1, 2001: </w:t>
      </w:r>
      <w:r>
        <w:rPr>
          <w:rFonts w:ascii="Arial" w:cs="Arial" w:eastAsia="Arial" w:hAnsi="Arial"/>
          <w:sz w:val="20"/>
          <w:szCs w:val="20"/>
          <w:color w:val="000000"/>
        </w:rPr>
        <w:t>The plan provided benefits on both a contributory and noncontributory formula. The</w:t>
      </w:r>
      <w:r>
        <w:rPr>
          <w:rFonts w:ascii="Arial" w:cs="Arial" w:eastAsia="Arial" w:hAnsi="Arial"/>
          <w:sz w:val="20"/>
          <w:szCs w:val="20"/>
          <w:b w:val="1"/>
          <w:bCs w:val="1"/>
          <w:color w:val="0033A0"/>
        </w:rPr>
        <w:t xml:space="preserve"> </w:t>
      </w:r>
      <w:r>
        <w:rPr>
          <w:rFonts w:ascii="Arial" w:cs="Arial" w:eastAsia="Arial" w:hAnsi="Arial"/>
          <w:sz w:val="20"/>
          <w:szCs w:val="20"/>
          <w:color w:val="000000"/>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of the employee’s eligible earnings up to the IRS-prescribed limits for tax-qualified plans. The 1.25% accruals were frozen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793865" cy="1016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67</w:t>
      </w:r>
    </w:p>
    <w:p>
      <w:pPr>
        <w:sectPr>
          <w:pgSz w:w="11900" w:h="16838" w:orient="portrait"/>
          <w:cols w:equalWidth="0" w:num="1">
            <w:col w:w="11100"/>
          </w:cols>
          <w:pgMar w:left="320" w:top="456"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33A0"/>
        </w:rPr>
        <w:t xml:space="preserve">Service from January 1, 2001, to December 31, 2006: </w:t>
      </w:r>
      <w:r>
        <w:rPr>
          <w:rFonts w:ascii="Arial" w:cs="Arial" w:eastAsia="Arial" w:hAnsi="Arial"/>
          <w:sz w:val="20"/>
          <w:szCs w:val="20"/>
          <w:color w:val="000000"/>
        </w:rPr>
        <w:t>The plan provided benefits under a cash balance formula with pay</w:t>
      </w:r>
      <w:r>
        <w:rPr>
          <w:rFonts w:ascii="Arial" w:cs="Arial" w:eastAsia="Arial" w:hAnsi="Arial"/>
          <w:sz w:val="20"/>
          <w:szCs w:val="20"/>
          <w:b w:val="1"/>
          <w:bCs w:val="1"/>
          <w:color w:val="0033A0"/>
        </w:rPr>
        <w:t xml:space="preserve"> </w:t>
      </w:r>
      <w:r>
        <w:rPr>
          <w:rFonts w:ascii="Arial" w:cs="Arial" w:eastAsia="Arial" w:hAnsi="Arial"/>
          <w:sz w:val="20"/>
          <w:szCs w:val="20"/>
          <w:color w:val="000000"/>
        </w:rPr>
        <w:t>credits based on age through December 31, 2006, when the formula was frozen, with balances continuing to earn interest credits thereafter.</w:t>
      </w:r>
    </w:p>
    <w:p>
      <w:pPr>
        <w:spacing w:after="0" w:line="102" w:lineRule="exact"/>
        <w:rPr>
          <w:sz w:val="20"/>
          <w:szCs w:val="20"/>
          <w:color w:val="auto"/>
        </w:rPr>
      </w:pPr>
    </w:p>
    <w:p>
      <w:pPr>
        <w:jc w:val="both"/>
        <w:ind w:left="160"/>
        <w:spacing w:after="0"/>
        <w:rPr>
          <w:sz w:val="20"/>
          <w:szCs w:val="20"/>
          <w:color w:val="auto"/>
        </w:rPr>
      </w:pPr>
      <w:r>
        <w:rPr>
          <w:rFonts w:ascii="Arial" w:cs="Arial" w:eastAsia="Arial" w:hAnsi="Arial"/>
          <w:sz w:val="19"/>
          <w:szCs w:val="19"/>
          <w:b w:val="1"/>
          <w:bCs w:val="1"/>
          <w:color w:val="0033A0"/>
        </w:rPr>
        <w:t xml:space="preserve">Time and Form of Payment: </w:t>
      </w:r>
      <w:r>
        <w:rPr>
          <w:rFonts w:ascii="Arial" w:cs="Arial" w:eastAsia="Arial" w:hAnsi="Arial"/>
          <w:sz w:val="19"/>
          <w:szCs w:val="19"/>
          <w:color w:val="000000"/>
        </w:rPr>
        <w:t>For employees hired prior to January 1, 2001, the accumulated benefit an employee earns over</w:t>
      </w:r>
      <w:r>
        <w:rPr>
          <w:rFonts w:ascii="Arial" w:cs="Arial" w:eastAsia="Arial" w:hAnsi="Arial"/>
          <w:sz w:val="19"/>
          <w:szCs w:val="19"/>
          <w:b w:val="1"/>
          <w:bCs w:val="1"/>
          <w:color w:val="0033A0"/>
        </w:rPr>
        <w:t xml:space="preserve"> </w:t>
      </w:r>
      <w:r>
        <w:rPr>
          <w:rFonts w:ascii="Arial" w:cs="Arial" w:eastAsia="Arial" w:hAnsi="Arial"/>
          <w:sz w:val="19"/>
          <w:szCs w:val="19"/>
          <w:color w:val="000000"/>
        </w:rPr>
        <w:t>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The plan also provides Social Security supplements for those hired prior to 1988. Additionally, for employees hired on or after January 1, 1988, and prior to December 31, 2000, Social Security supplements are not payable and age-reduction factors are greater for retirements prior to age 62. The plan provides a single-life annuity, a spousal joint and survivor annuity, contingent annuitant optional form of payment, or 100% lump sum option. For employees hired from January 1, 2001, to December 31, 2006, the plan provides a single-life annuity, contingent annuitant optional form of payment, or a 100% lump sum option.</w:t>
      </w:r>
    </w:p>
    <w:p>
      <w:pPr>
        <w:spacing w:after="0" w:line="93"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33A0"/>
        </w:rPr>
        <w:t xml:space="preserve">Tax Code Limitations on Benefits: </w:t>
      </w:r>
      <w:r>
        <w:rPr>
          <w:rFonts w:ascii="Arial" w:cs="Arial" w:eastAsia="Arial" w:hAnsi="Arial"/>
          <w:sz w:val="20"/>
          <w:szCs w:val="20"/>
          <w:color w:val="000000"/>
        </w:rPr>
        <w:t>Section 415(b)(1)(A) of the IRC limits the benefits payable under the GM SRP. For 2019,</w:t>
      </w:r>
      <w:r>
        <w:rPr>
          <w:rFonts w:ascii="Arial" w:cs="Arial" w:eastAsia="Arial" w:hAnsi="Arial"/>
          <w:sz w:val="20"/>
          <w:szCs w:val="20"/>
          <w:b w:val="1"/>
          <w:bCs w:val="1"/>
          <w:color w:val="0033A0"/>
        </w:rPr>
        <w:t xml:space="preserve"> </w:t>
      </w:r>
      <w:r>
        <w:rPr>
          <w:rFonts w:ascii="Arial" w:cs="Arial" w:eastAsia="Arial" w:hAnsi="Arial"/>
          <w:sz w:val="20"/>
          <w:szCs w:val="20"/>
          <w:color w:val="000000"/>
        </w:rPr>
        <w:t>the maximum single life annuity a NEO could have received under these limits was $225,000 per year. This ceiling is actuarially adjusted in accordance with IRS rules to reflect employee contributions, actual forms of distribution, and actual retirement dates.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GM Executive Retirement Plan</w:t>
      </w:r>
    </w:p>
    <w:p>
      <w:pPr>
        <w:spacing w:after="0" w:line="131" w:lineRule="exact"/>
        <w:rPr>
          <w:sz w:val="20"/>
          <w:szCs w:val="20"/>
          <w:color w:val="auto"/>
        </w:rPr>
      </w:pPr>
    </w:p>
    <w:p>
      <w:pPr>
        <w:jc w:val="both"/>
        <w:ind w:left="160"/>
        <w:spacing w:after="0" w:line="280" w:lineRule="auto"/>
        <w:rPr>
          <w:sz w:val="20"/>
          <w:szCs w:val="20"/>
          <w:color w:val="auto"/>
        </w:rPr>
      </w:pPr>
      <w:r>
        <w:rPr>
          <w:rFonts w:ascii="Arial" w:cs="Arial" w:eastAsia="Arial" w:hAnsi="Arial"/>
          <w:sz w:val="19"/>
          <w:szCs w:val="19"/>
          <w:b w:val="1"/>
          <w:bCs w:val="1"/>
          <w:color w:val="0033A0"/>
        </w:rPr>
        <w:t xml:space="preserve">Eligibility and Vesting: </w:t>
      </w:r>
      <w:r>
        <w:rPr>
          <w:rFonts w:ascii="Arial" w:cs="Arial" w:eastAsia="Arial" w:hAnsi="Arial"/>
          <w:sz w:val="19"/>
          <w:szCs w:val="19"/>
          <w:color w:val="000000"/>
        </w:rPr>
        <w:t>The GM Executive Retirement Plan (“DB ERP”) is an unfunded, non-tax-qualified retirement program</w:t>
      </w:r>
      <w:r>
        <w:rPr>
          <w:rFonts w:ascii="Arial" w:cs="Arial" w:eastAsia="Arial" w:hAnsi="Arial"/>
          <w:sz w:val="19"/>
          <w:szCs w:val="19"/>
          <w:b w:val="1"/>
          <w:bCs w:val="1"/>
          <w:color w:val="0033A0"/>
        </w:rPr>
        <w:t xml:space="preserve"> </w:t>
      </w:r>
      <w:r>
        <w:rPr>
          <w:rFonts w:ascii="Arial" w:cs="Arial" w:eastAsia="Arial" w:hAnsi="Arial"/>
          <w:sz w:val="19"/>
          <w:szCs w:val="19"/>
          <w:color w:val="000000"/>
        </w:rPr>
        <w:t>that covers eligible executives to provide retirement benefits above amounts available under our other pension programs.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Benefit Formula:</w:t>
      </w:r>
    </w:p>
    <w:p>
      <w:pPr>
        <w:spacing w:after="0" w:line="13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b w:val="1"/>
          <w:bCs w:val="1"/>
          <w:color w:val="0033A0"/>
        </w:rPr>
        <w:t xml:space="preserve">Service Prior to January 1, 2007: </w:t>
      </w:r>
      <w:r>
        <w:rPr>
          <w:rFonts w:ascii="Arial" w:cs="Arial" w:eastAsia="Arial" w:hAnsi="Arial"/>
          <w:sz w:val="20"/>
          <w:szCs w:val="20"/>
          <w:color w:val="000000"/>
        </w:rPr>
        <w:t>The supplemental pension will equal the greater of (a) 2% of the average monthly base</w:t>
      </w:r>
      <w:r>
        <w:rPr>
          <w:rFonts w:ascii="Arial" w:cs="Arial" w:eastAsia="Arial" w:hAnsi="Arial"/>
          <w:sz w:val="20"/>
          <w:szCs w:val="20"/>
          <w:b w:val="1"/>
          <w:bCs w:val="1"/>
          <w:color w:val="0033A0"/>
        </w:rPr>
        <w:t xml:space="preserve"> </w:t>
      </w:r>
      <w:r>
        <w:rPr>
          <w:rFonts w:ascii="Arial" w:cs="Arial" w:eastAsia="Arial" w:hAnsi="Arial"/>
          <w:sz w:val="20"/>
          <w:szCs w:val="20"/>
          <w:color w:val="000000"/>
        </w:rPr>
        <w:t>salary multiplied by all years of contributory service less the sum of all benefits payable under the GM SRP plus the maximum Social Security benefit as of January 2007 multiplied by all years of contributory service or (b) 1.5% of the average monthly base salary plus annual incentive plan compensation multiplied by all years of contributory service, up to a maximum of 35 years, less the sum of all benefits payable under the GM SRP plus 100% of the maximum Social Security benefit as of January 2007. In both cases, the base salary and annual incentive plan payments are determined using the highest 60 months out of the last 120 months prior to retirement.</w:t>
      </w:r>
    </w:p>
    <w:p>
      <w:pPr>
        <w:spacing w:after="0" w:line="102"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0033A0"/>
        </w:rPr>
        <w:t xml:space="preserve">Service from January 1, 2007, to September 30, 2012: </w:t>
      </w:r>
      <w:r>
        <w:rPr>
          <w:rFonts w:ascii="Arial" w:cs="Arial" w:eastAsia="Arial" w:hAnsi="Arial"/>
          <w:sz w:val="20"/>
          <w:szCs w:val="20"/>
          <w:color w:val="000000"/>
        </w:rPr>
        <w:t>For employees hired prior to January 1, 2001, the supplemental</w:t>
      </w:r>
      <w:r>
        <w:rPr>
          <w:rFonts w:ascii="Arial" w:cs="Arial" w:eastAsia="Arial" w:hAnsi="Arial"/>
          <w:sz w:val="20"/>
          <w:szCs w:val="20"/>
          <w:b w:val="1"/>
          <w:bCs w:val="1"/>
          <w:color w:val="0033A0"/>
        </w:rPr>
        <w:t xml:space="preserve"> </w:t>
      </w:r>
      <w:r>
        <w:rPr>
          <w:rFonts w:ascii="Arial" w:cs="Arial" w:eastAsia="Arial" w:hAnsi="Arial"/>
          <w:sz w:val="20"/>
          <w:szCs w:val="20"/>
          <w:color w:val="000000"/>
        </w:rPr>
        <w:t>pension will equal 1.25% multiplied by their annual base salary plus short-term incentive payments and is applicable to amounts in excess of the IRS-prescribed limit applicable to tax-qualified plans.</w:t>
      </w:r>
    </w:p>
    <w:p>
      <w:pPr>
        <w:spacing w:after="0" w:line="89" w:lineRule="exact"/>
        <w:rPr>
          <w:sz w:val="20"/>
          <w:szCs w:val="20"/>
          <w:color w:val="auto"/>
        </w:rPr>
      </w:pPr>
    </w:p>
    <w:p>
      <w:pPr>
        <w:jc w:val="both"/>
        <w:ind w:left="160"/>
        <w:spacing w:after="0" w:line="232" w:lineRule="auto"/>
        <w:rPr>
          <w:sz w:val="20"/>
          <w:szCs w:val="20"/>
          <w:color w:val="auto"/>
        </w:rPr>
      </w:pPr>
      <w:r>
        <w:rPr>
          <w:rFonts w:ascii="Arial" w:cs="Arial" w:eastAsia="Arial" w:hAnsi="Arial"/>
          <w:sz w:val="20"/>
          <w:szCs w:val="20"/>
          <w:b w:val="1"/>
          <w:bCs w:val="1"/>
          <w:color w:val="0033A0"/>
        </w:rPr>
        <w:t xml:space="preserve">Time and Form of Payment: </w:t>
      </w:r>
      <w:r>
        <w:rPr>
          <w:rFonts w:ascii="Arial" w:cs="Arial" w:eastAsia="Arial" w:hAnsi="Arial"/>
          <w:sz w:val="20"/>
          <w:szCs w:val="20"/>
          <w:color w:val="000000"/>
        </w:rPr>
        <w:t>Normal retirement age under the plan is age 65; however, employees who commenced service</w:t>
      </w:r>
      <w:r>
        <w:rPr>
          <w:rFonts w:ascii="Arial" w:cs="Arial" w:eastAsia="Arial" w:hAnsi="Arial"/>
          <w:sz w:val="20"/>
          <w:szCs w:val="20"/>
          <w:b w:val="1"/>
          <w:bCs w:val="1"/>
          <w:color w:val="0033A0"/>
        </w:rPr>
        <w:t xml:space="preserve"> </w:t>
      </w:r>
      <w:r>
        <w:rPr>
          <w:rFonts w:ascii="Arial" w:cs="Arial" w:eastAsia="Arial" w:hAnsi="Arial"/>
          <w:sz w:val="20"/>
          <w:szCs w:val="20"/>
          <w:color w:val="000000"/>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GM SRP. The GM DB ERP is payable as a five-year certain annuity, with payments starting upon the retirement of the executive and continuing for 60 months.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VML Pension Plan</w:t>
      </w:r>
    </w:p>
    <w:p>
      <w:pPr>
        <w:spacing w:after="0" w:line="131"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3A0"/>
        </w:rPr>
        <w:t xml:space="preserve">Eligibility and Vesting: </w:t>
      </w:r>
      <w:r>
        <w:rPr>
          <w:rFonts w:ascii="Arial" w:cs="Arial" w:eastAsia="Arial" w:hAnsi="Arial"/>
          <w:sz w:val="20"/>
          <w:szCs w:val="20"/>
          <w:color w:val="000000"/>
        </w:rPr>
        <w:t>The Vauxhall Motors (“VML”) Pension Plan is a funded defined benefit plan open to all GM United</w:t>
      </w:r>
      <w:r>
        <w:rPr>
          <w:rFonts w:ascii="Arial" w:cs="Arial" w:eastAsia="Arial" w:hAnsi="Arial"/>
          <w:sz w:val="20"/>
          <w:szCs w:val="20"/>
          <w:b w:val="1"/>
          <w:bCs w:val="1"/>
          <w:color w:val="0033A0"/>
        </w:rPr>
        <w:t xml:space="preserve"> </w:t>
      </w:r>
      <w:r>
        <w:rPr>
          <w:rFonts w:ascii="Arial" w:cs="Arial" w:eastAsia="Arial" w:hAnsi="Arial"/>
          <w:sz w:val="20"/>
          <w:szCs w:val="20"/>
          <w:color w:val="000000"/>
        </w:rPr>
        <w:t>Kingdom employees prior to October 2012, when it closed to new entrants.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68 </w:t>
      </w:r>
      <w:r>
        <w:rPr>
          <w:sz w:val="1"/>
          <w:szCs w:val="1"/>
          <w:color w:val="auto"/>
        </w:rPr>
        <w:drawing>
          <wp:inline distT="0" distB="0" distL="0" distR="0">
            <wp:extent cx="6793865" cy="1016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Benefit Formula:</w:t>
      </w:r>
    </w:p>
    <w:p>
      <w:pPr>
        <w:spacing w:after="0" w:line="131"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20"/>
          <w:szCs w:val="20"/>
          <w:b w:val="1"/>
          <w:bCs w:val="1"/>
          <w:color w:val="0033A0"/>
        </w:rPr>
        <w:t xml:space="preserve">Service Prior to May 31, 2009: </w:t>
      </w:r>
      <w:r>
        <w:rPr>
          <w:rFonts w:ascii="Arial" w:cs="Arial" w:eastAsia="Arial" w:hAnsi="Arial"/>
          <w:sz w:val="20"/>
          <w:szCs w:val="20"/>
          <w:color w:val="000000"/>
        </w:rPr>
        <w:t>The VML Pension Plan gave an annual pension equal to 1/55th times pensionable service</w:t>
      </w:r>
      <w:r>
        <w:rPr>
          <w:rFonts w:ascii="Arial" w:cs="Arial" w:eastAsia="Arial" w:hAnsi="Arial"/>
          <w:sz w:val="20"/>
          <w:szCs w:val="20"/>
          <w:b w:val="1"/>
          <w:bCs w:val="1"/>
          <w:color w:val="0033A0"/>
        </w:rPr>
        <w:t xml:space="preserve"> </w:t>
      </w:r>
      <w:r>
        <w:rPr>
          <w:rFonts w:ascii="Arial" w:cs="Arial" w:eastAsia="Arial" w:hAnsi="Arial"/>
          <w:sz w:val="20"/>
          <w:szCs w:val="20"/>
          <w:color w:val="000000"/>
        </w:rPr>
        <w:t>times Final Pensionable Pay. Pensionable Pay is defined as basic pay less the lower earnings limit.</w:t>
      </w:r>
    </w:p>
    <w:p>
      <w:pPr>
        <w:spacing w:after="0" w:line="75"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33A0"/>
        </w:rPr>
        <w:t xml:space="preserve">Service from June 1, 2009: </w:t>
      </w:r>
      <w:r>
        <w:rPr>
          <w:rFonts w:ascii="Arial" w:cs="Arial" w:eastAsia="Arial" w:hAnsi="Arial"/>
          <w:sz w:val="20"/>
          <w:szCs w:val="20"/>
          <w:color w:val="000000"/>
        </w:rPr>
        <w:t>The VML Pension plan gave an annual pension equal to 1/60th times pensionable service times</w:t>
      </w:r>
      <w:r>
        <w:rPr>
          <w:rFonts w:ascii="Arial" w:cs="Arial" w:eastAsia="Arial" w:hAnsi="Arial"/>
          <w:sz w:val="20"/>
          <w:szCs w:val="20"/>
          <w:b w:val="1"/>
          <w:bCs w:val="1"/>
          <w:color w:val="0033A0"/>
        </w:rPr>
        <w:t xml:space="preserve"> </w:t>
      </w:r>
      <w:r>
        <w:rPr>
          <w:rFonts w:ascii="Arial" w:cs="Arial" w:eastAsia="Arial" w:hAnsi="Arial"/>
          <w:sz w:val="20"/>
          <w:szCs w:val="20"/>
          <w:color w:val="000000"/>
        </w:rPr>
        <w:t>Final Pensionable Pay. Increases in pensionable pay are limited to the annual rate of Retail Price Index inflation other than for one-off increases due to promotions.</w:t>
      </w:r>
    </w:p>
    <w:p>
      <w:pPr>
        <w:spacing w:after="0" w:line="102" w:lineRule="exact"/>
        <w:rPr>
          <w:sz w:val="20"/>
          <w:szCs w:val="20"/>
          <w:color w:val="auto"/>
        </w:rPr>
      </w:pPr>
    </w:p>
    <w:p>
      <w:pPr>
        <w:jc w:val="both"/>
        <w:ind w:left="160" w:right="40"/>
        <w:spacing w:after="0" w:line="254" w:lineRule="auto"/>
        <w:rPr>
          <w:sz w:val="20"/>
          <w:szCs w:val="20"/>
          <w:color w:val="auto"/>
        </w:rPr>
      </w:pPr>
      <w:r>
        <w:rPr>
          <w:rFonts w:ascii="Arial" w:cs="Arial" w:eastAsia="Arial" w:hAnsi="Arial"/>
          <w:sz w:val="20"/>
          <w:szCs w:val="20"/>
          <w:b w:val="1"/>
          <w:bCs w:val="1"/>
          <w:color w:val="0033A0"/>
        </w:rPr>
        <w:t xml:space="preserve">Time and Form of Payment: </w:t>
      </w:r>
      <w:r>
        <w:rPr>
          <w:rFonts w:ascii="Arial" w:cs="Arial" w:eastAsia="Arial" w:hAnsi="Arial"/>
          <w:sz w:val="20"/>
          <w:szCs w:val="20"/>
          <w:color w:val="000000"/>
        </w:rPr>
        <w:t>Normal retirement age under the plan is age 65. Deferred members can take their pension from</w:t>
      </w:r>
      <w:r>
        <w:rPr>
          <w:rFonts w:ascii="Arial" w:cs="Arial" w:eastAsia="Arial" w:hAnsi="Arial"/>
          <w:sz w:val="20"/>
          <w:szCs w:val="20"/>
          <w:b w:val="1"/>
          <w:bCs w:val="1"/>
          <w:color w:val="0033A0"/>
        </w:rPr>
        <w:t xml:space="preserve"> </w:t>
      </w:r>
      <w:r>
        <w:rPr>
          <w:rFonts w:ascii="Arial" w:cs="Arial" w:eastAsia="Arial" w:hAnsi="Arial"/>
          <w:sz w:val="20"/>
          <w:szCs w:val="20"/>
          <w:color w:val="000000"/>
        </w:rPr>
        <w:t>age 55 subject to a reduction, using the plans early retirement factors.</w:t>
      </w:r>
    </w:p>
    <w:p>
      <w:pPr>
        <w:spacing w:after="0" w:line="18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920" w:type="dxa"/>
            <w:vAlign w:val="bottom"/>
            <w:tcBorders>
              <w:top w:val="single" w:sz="8" w:color="00A1DF"/>
            </w:tcBorders>
          </w:tcPr>
          <w:p>
            <w:pPr>
              <w:spacing w:after="0"/>
              <w:rPr>
                <w:sz w:val="18"/>
                <w:szCs w:val="18"/>
                <w:color w:val="auto"/>
              </w:rPr>
            </w:pPr>
          </w:p>
        </w:tc>
        <w:tc>
          <w:tcPr>
            <w:tcW w:w="2180" w:type="dxa"/>
            <w:vAlign w:val="bottom"/>
            <w:tcBorders>
              <w:top w:val="single" w:sz="8" w:color="00A1DF"/>
            </w:tcBorders>
          </w:tcPr>
          <w:p>
            <w:pPr>
              <w:spacing w:after="0"/>
              <w:rPr>
                <w:sz w:val="18"/>
                <w:szCs w:val="18"/>
                <w:color w:val="auto"/>
              </w:rPr>
            </w:pPr>
          </w:p>
        </w:tc>
        <w:tc>
          <w:tcPr>
            <w:tcW w:w="2880" w:type="dxa"/>
            <w:vAlign w:val="bottom"/>
            <w:tcBorders>
              <w:top w:val="single" w:sz="8" w:color="00A1DF"/>
            </w:tcBorders>
          </w:tcPr>
          <w:p>
            <w:pPr>
              <w:jc w:val="right"/>
              <w:ind w:right="142"/>
              <w:spacing w:after="0" w:line="213" w:lineRule="exact"/>
              <w:rPr>
                <w:sz w:val="20"/>
                <w:szCs w:val="20"/>
                <w:color w:val="auto"/>
              </w:rPr>
            </w:pPr>
            <w:r>
              <w:rPr>
                <w:rFonts w:ascii="Arial" w:cs="Arial" w:eastAsia="Arial" w:hAnsi="Arial"/>
                <w:sz w:val="20"/>
                <w:szCs w:val="20"/>
                <w:b w:val="1"/>
                <w:bCs w:val="1"/>
                <w:color w:val="00A1DF"/>
              </w:rPr>
              <w:t>Number of Years of</w:t>
            </w:r>
          </w:p>
        </w:tc>
        <w:tc>
          <w:tcPr>
            <w:tcW w:w="2020" w:type="dxa"/>
            <w:vAlign w:val="bottom"/>
            <w:tcBorders>
              <w:top w:val="single" w:sz="8" w:color="00A1DF"/>
            </w:tcBorders>
          </w:tcPr>
          <w:p>
            <w:pPr>
              <w:jc w:val="right"/>
              <w:ind w:right="142"/>
              <w:spacing w:after="0" w:line="213" w:lineRule="exact"/>
              <w:rPr>
                <w:sz w:val="20"/>
                <w:szCs w:val="20"/>
                <w:color w:val="auto"/>
              </w:rPr>
            </w:pPr>
            <w:r>
              <w:rPr>
                <w:rFonts w:ascii="Arial" w:cs="Arial" w:eastAsia="Arial" w:hAnsi="Arial"/>
                <w:sz w:val="20"/>
                <w:szCs w:val="20"/>
                <w:b w:val="1"/>
                <w:bCs w:val="1"/>
                <w:color w:val="00A1DF"/>
              </w:rPr>
              <w:t>Present Value of</w:t>
            </w:r>
          </w:p>
        </w:tc>
        <w:tc>
          <w:tcPr>
            <w:tcW w:w="1920" w:type="dxa"/>
            <w:vAlign w:val="bottom"/>
            <w:tcBorders>
              <w:top w:val="single" w:sz="8" w:color="00A1DF"/>
            </w:tcBorders>
          </w:tcPr>
          <w:p>
            <w:pPr>
              <w:spacing w:after="0"/>
              <w:rPr>
                <w:sz w:val="18"/>
                <w:szCs w:val="18"/>
                <w:color w:val="auto"/>
              </w:rPr>
            </w:pPr>
          </w:p>
        </w:tc>
      </w:tr>
      <w:tr>
        <w:trPr>
          <w:trHeight w:val="214"/>
        </w:trPr>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8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A1DF"/>
              </w:rPr>
              <w:t>Eligible Credited Service</w:t>
            </w:r>
          </w:p>
        </w:tc>
        <w:tc>
          <w:tcPr>
            <w:tcW w:w="202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A1DF"/>
              </w:rPr>
              <w:t>Accumulated</w:t>
            </w:r>
          </w:p>
        </w:tc>
        <w:tc>
          <w:tcPr>
            <w:tcW w:w="192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Payments During</w:t>
            </w:r>
          </w:p>
        </w:tc>
      </w:tr>
      <w:tr>
        <w:trPr>
          <w:trHeight w:val="214"/>
        </w:trPr>
        <w:tc>
          <w:tcPr>
            <w:tcW w:w="19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8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A1DF"/>
              </w:rPr>
              <w:t>as of December 31,</w:t>
            </w:r>
          </w:p>
        </w:tc>
        <w:tc>
          <w:tcPr>
            <w:tcW w:w="2020" w:type="dxa"/>
            <w:vAlign w:val="bottom"/>
          </w:tcPr>
          <w:p>
            <w:pPr>
              <w:jc w:val="right"/>
              <w:ind w:right="142"/>
              <w:spacing w:after="0" w:line="214" w:lineRule="exact"/>
              <w:rPr>
                <w:sz w:val="20"/>
                <w:szCs w:val="20"/>
                <w:color w:val="auto"/>
              </w:rPr>
            </w:pPr>
            <w:r>
              <w:rPr>
                <w:rFonts w:ascii="Arial" w:cs="Arial" w:eastAsia="Arial" w:hAnsi="Arial"/>
                <w:sz w:val="20"/>
                <w:szCs w:val="20"/>
                <w:b w:val="1"/>
                <w:bCs w:val="1"/>
                <w:color w:val="00A1DF"/>
              </w:rPr>
              <w:t>Benefits</w:t>
            </w:r>
            <w:r>
              <w:rPr>
                <w:rFonts w:ascii="Arial" w:cs="Arial" w:eastAsia="Arial" w:hAnsi="Arial"/>
                <w:sz w:val="16"/>
                <w:szCs w:val="16"/>
                <w:b w:val="1"/>
                <w:bCs w:val="1"/>
                <w:color w:val="00A1DF"/>
              </w:rPr>
              <w:t>(2)</w:t>
            </w:r>
          </w:p>
        </w:tc>
        <w:tc>
          <w:tcPr>
            <w:tcW w:w="192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Last Fiscal Year</w:t>
            </w:r>
          </w:p>
        </w:tc>
      </w:tr>
      <w:tr>
        <w:trPr>
          <w:trHeight w:val="273"/>
        </w:trPr>
        <w:tc>
          <w:tcPr>
            <w:tcW w:w="1920" w:type="dxa"/>
            <w:vAlign w:val="bottom"/>
          </w:tcPr>
          <w:p>
            <w:pPr>
              <w:spacing w:after="0"/>
              <w:rPr>
                <w:sz w:val="20"/>
                <w:szCs w:val="20"/>
                <w:color w:val="auto"/>
              </w:rPr>
            </w:pPr>
            <w:r>
              <w:rPr>
                <w:rFonts w:ascii="Arial" w:cs="Arial" w:eastAsia="Arial" w:hAnsi="Arial"/>
                <w:sz w:val="20"/>
                <w:szCs w:val="20"/>
                <w:b w:val="1"/>
                <w:bCs w:val="1"/>
                <w:color w:val="00A1DF"/>
              </w:rPr>
              <w:t>Name</w:t>
            </w:r>
          </w:p>
        </w:tc>
        <w:tc>
          <w:tcPr>
            <w:tcW w:w="2180" w:type="dxa"/>
            <w:vAlign w:val="bottom"/>
          </w:tcPr>
          <w:p>
            <w:pPr>
              <w:ind w:left="220"/>
              <w:spacing w:after="0"/>
              <w:rPr>
                <w:sz w:val="20"/>
                <w:szCs w:val="20"/>
                <w:color w:val="auto"/>
              </w:rPr>
            </w:pPr>
            <w:r>
              <w:rPr>
                <w:rFonts w:ascii="Arial" w:cs="Arial" w:eastAsia="Arial" w:hAnsi="Arial"/>
                <w:sz w:val="20"/>
                <w:szCs w:val="20"/>
                <w:b w:val="1"/>
                <w:bCs w:val="1"/>
                <w:color w:val="00A1DF"/>
              </w:rPr>
              <w:t>Plan Name</w:t>
            </w:r>
          </w:p>
        </w:tc>
        <w:tc>
          <w:tcPr>
            <w:tcW w:w="2880" w:type="dxa"/>
            <w:vAlign w:val="bottom"/>
          </w:tcPr>
          <w:p>
            <w:pPr>
              <w:jc w:val="right"/>
              <w:ind w:right="142"/>
              <w:spacing w:after="0"/>
              <w:rPr>
                <w:sz w:val="20"/>
                <w:szCs w:val="20"/>
                <w:color w:val="auto"/>
              </w:rPr>
            </w:pPr>
            <w:r>
              <w:rPr>
                <w:rFonts w:ascii="Arial" w:cs="Arial" w:eastAsia="Arial" w:hAnsi="Arial"/>
                <w:sz w:val="20"/>
                <w:szCs w:val="20"/>
                <w:b w:val="1"/>
                <w:bCs w:val="1"/>
                <w:color w:val="00A1DF"/>
              </w:rPr>
              <w:t>2019</w:t>
            </w:r>
            <w:r>
              <w:rPr>
                <w:rFonts w:ascii="Arial" w:cs="Arial" w:eastAsia="Arial" w:hAnsi="Arial"/>
                <w:sz w:val="16"/>
                <w:szCs w:val="16"/>
                <w:b w:val="1"/>
                <w:bCs w:val="1"/>
                <w:color w:val="00A1DF"/>
              </w:rPr>
              <w:t>(1)</w:t>
            </w:r>
          </w:p>
        </w:tc>
        <w:tc>
          <w:tcPr>
            <w:tcW w:w="2020" w:type="dxa"/>
            <w:vAlign w:val="bottom"/>
          </w:tcPr>
          <w:p>
            <w:pPr>
              <w:jc w:val="right"/>
              <w:ind w:right="142"/>
              <w:spacing w:after="0"/>
              <w:rPr>
                <w:sz w:val="20"/>
                <w:szCs w:val="20"/>
                <w:color w:val="auto"/>
              </w:rPr>
            </w:pPr>
            <w:r>
              <w:rPr>
                <w:rFonts w:ascii="Arial" w:cs="Arial" w:eastAsia="Arial" w:hAnsi="Arial"/>
                <w:sz w:val="20"/>
                <w:szCs w:val="20"/>
                <w:b w:val="1"/>
                <w:bCs w:val="1"/>
                <w:color w:val="00A1DF"/>
              </w:rPr>
              <w:t>($)</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00A1DF"/>
              </w:rPr>
              <w:t>($)</w:t>
            </w:r>
          </w:p>
        </w:tc>
      </w:tr>
      <w:tr>
        <w:trPr>
          <w:trHeight w:val="62"/>
        </w:trPr>
        <w:tc>
          <w:tcPr>
            <w:tcW w:w="1920" w:type="dxa"/>
            <w:vAlign w:val="bottom"/>
            <w:tcBorders>
              <w:bottom w:val="single" w:sz="8" w:color="00A1DF"/>
            </w:tcBorders>
          </w:tcPr>
          <w:p>
            <w:pPr>
              <w:spacing w:after="0"/>
              <w:rPr>
                <w:sz w:val="5"/>
                <w:szCs w:val="5"/>
                <w:color w:val="auto"/>
              </w:rPr>
            </w:pPr>
          </w:p>
        </w:tc>
        <w:tc>
          <w:tcPr>
            <w:tcW w:w="2180" w:type="dxa"/>
            <w:vAlign w:val="bottom"/>
            <w:tcBorders>
              <w:bottom w:val="single" w:sz="8" w:color="00A1DF"/>
            </w:tcBorders>
          </w:tcPr>
          <w:p>
            <w:pPr>
              <w:spacing w:after="0"/>
              <w:rPr>
                <w:sz w:val="5"/>
                <w:szCs w:val="5"/>
                <w:color w:val="auto"/>
              </w:rPr>
            </w:pPr>
          </w:p>
        </w:tc>
        <w:tc>
          <w:tcPr>
            <w:tcW w:w="2880" w:type="dxa"/>
            <w:vAlign w:val="bottom"/>
            <w:tcBorders>
              <w:bottom w:val="single" w:sz="8" w:color="00A1DF"/>
            </w:tcBorders>
          </w:tcPr>
          <w:p>
            <w:pPr>
              <w:spacing w:after="0"/>
              <w:rPr>
                <w:sz w:val="5"/>
                <w:szCs w:val="5"/>
                <w:color w:val="auto"/>
              </w:rPr>
            </w:pPr>
          </w:p>
        </w:tc>
        <w:tc>
          <w:tcPr>
            <w:tcW w:w="2020" w:type="dxa"/>
            <w:vAlign w:val="bottom"/>
            <w:tcBorders>
              <w:bottom w:val="single" w:sz="8" w:color="00A1DF"/>
            </w:tcBorders>
          </w:tcPr>
          <w:p>
            <w:pPr>
              <w:spacing w:after="0"/>
              <w:rPr>
                <w:sz w:val="5"/>
                <w:szCs w:val="5"/>
                <w:color w:val="auto"/>
              </w:rPr>
            </w:pPr>
          </w:p>
        </w:tc>
        <w:tc>
          <w:tcPr>
            <w:tcW w:w="1920" w:type="dxa"/>
            <w:vAlign w:val="bottom"/>
            <w:tcBorders>
              <w:bottom w:val="single" w:sz="8" w:color="00A1DF"/>
            </w:tcBorders>
          </w:tcPr>
          <w:p>
            <w:pPr>
              <w:spacing w:after="0"/>
              <w:rPr>
                <w:sz w:val="5"/>
                <w:szCs w:val="5"/>
                <w:color w:val="auto"/>
              </w:rPr>
            </w:pPr>
          </w:p>
        </w:tc>
      </w:tr>
      <w:tr>
        <w:trPr>
          <w:trHeight w:val="292"/>
        </w:trPr>
        <w:tc>
          <w:tcPr>
            <w:tcW w:w="1920" w:type="dxa"/>
            <w:vAlign w:val="bottom"/>
          </w:tcPr>
          <w:p>
            <w:pPr>
              <w:ind w:left="100"/>
              <w:spacing w:after="0"/>
              <w:rPr>
                <w:sz w:val="20"/>
                <w:szCs w:val="20"/>
                <w:color w:val="auto"/>
              </w:rPr>
            </w:pPr>
            <w:r>
              <w:rPr>
                <w:rFonts w:ascii="Arial" w:cs="Arial" w:eastAsia="Arial" w:hAnsi="Arial"/>
                <w:sz w:val="20"/>
                <w:szCs w:val="20"/>
                <w:color w:val="auto"/>
              </w:rPr>
              <w:t>Mary T. Barra</w:t>
            </w:r>
          </w:p>
        </w:tc>
        <w:tc>
          <w:tcPr>
            <w:tcW w:w="2180" w:type="dxa"/>
            <w:vAlign w:val="bottom"/>
          </w:tcPr>
          <w:p>
            <w:pPr>
              <w:ind w:left="220"/>
              <w:spacing w:after="0"/>
              <w:rPr>
                <w:sz w:val="20"/>
                <w:szCs w:val="20"/>
                <w:color w:val="auto"/>
              </w:rPr>
            </w:pPr>
            <w:r>
              <w:rPr>
                <w:rFonts w:ascii="Arial" w:cs="Arial" w:eastAsia="Arial" w:hAnsi="Arial"/>
                <w:sz w:val="20"/>
                <w:szCs w:val="20"/>
                <w:color w:val="auto"/>
              </w:rPr>
              <w:t>SRP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37.3</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1,238,420</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21"/>
        </w:trPr>
        <w:tc>
          <w:tcPr>
            <w:tcW w:w="1920" w:type="dxa"/>
            <w:vAlign w:val="bottom"/>
          </w:tcPr>
          <w:p>
            <w:pPr>
              <w:spacing w:after="0"/>
              <w:rPr>
                <w:sz w:val="24"/>
                <w:szCs w:val="24"/>
                <w:color w:val="auto"/>
              </w:rPr>
            </w:pPr>
          </w:p>
        </w:tc>
        <w:tc>
          <w:tcPr>
            <w:tcW w:w="2180" w:type="dxa"/>
            <w:vAlign w:val="bottom"/>
          </w:tcPr>
          <w:p>
            <w:pPr>
              <w:ind w:left="220"/>
              <w:spacing w:after="0"/>
              <w:rPr>
                <w:sz w:val="20"/>
                <w:szCs w:val="20"/>
                <w:color w:val="auto"/>
              </w:rPr>
            </w:pPr>
            <w:r>
              <w:rPr>
                <w:rFonts w:ascii="Arial" w:cs="Arial" w:eastAsia="Arial" w:hAnsi="Arial"/>
                <w:sz w:val="20"/>
                <w:szCs w:val="20"/>
                <w:color w:val="auto"/>
              </w:rPr>
              <w:t>DB ERP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37.3</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1,069,427</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19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71"/>
        </w:trPr>
        <w:tc>
          <w:tcPr>
            <w:tcW w:w="1920" w:type="dxa"/>
            <w:vAlign w:val="bottom"/>
          </w:tcPr>
          <w:p>
            <w:pPr>
              <w:ind w:left="100"/>
              <w:spacing w:after="0"/>
              <w:rPr>
                <w:sz w:val="20"/>
                <w:szCs w:val="20"/>
                <w:color w:val="auto"/>
              </w:rPr>
            </w:pPr>
            <w:r>
              <w:rPr>
                <w:rFonts w:ascii="Arial" w:cs="Arial" w:eastAsia="Arial" w:hAnsi="Arial"/>
                <w:sz w:val="20"/>
                <w:szCs w:val="20"/>
                <w:color w:val="auto"/>
              </w:rPr>
              <w:t>Dhivya</w:t>
            </w:r>
          </w:p>
        </w:tc>
        <w:tc>
          <w:tcPr>
            <w:tcW w:w="21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35"/>
        </w:trPr>
        <w:tc>
          <w:tcPr>
            <w:tcW w:w="1920" w:type="dxa"/>
            <w:vAlign w:val="bottom"/>
          </w:tcPr>
          <w:p>
            <w:pPr>
              <w:ind w:left="100"/>
              <w:spacing w:after="0"/>
              <w:rPr>
                <w:sz w:val="20"/>
                <w:szCs w:val="20"/>
                <w:color w:val="auto"/>
              </w:rPr>
            </w:pPr>
            <w:r>
              <w:rPr>
                <w:rFonts w:ascii="Arial" w:cs="Arial" w:eastAsia="Arial" w:hAnsi="Arial"/>
                <w:sz w:val="20"/>
                <w:szCs w:val="20"/>
                <w:color w:val="auto"/>
              </w:rPr>
              <w:t>Suryadevara</w:t>
            </w:r>
          </w:p>
        </w:tc>
        <w:tc>
          <w:tcPr>
            <w:tcW w:w="2180" w:type="dxa"/>
            <w:vAlign w:val="bottom"/>
          </w:tcPr>
          <w:p>
            <w:pPr>
              <w:ind w:left="220"/>
              <w:spacing w:after="0"/>
              <w:rPr>
                <w:sz w:val="20"/>
                <w:szCs w:val="20"/>
                <w:color w:val="auto"/>
              </w:rPr>
            </w:pPr>
            <w:r>
              <w:rPr>
                <w:rFonts w:ascii="Arial" w:cs="Arial" w:eastAsia="Arial" w:hAnsi="Arial"/>
                <w:sz w:val="20"/>
                <w:szCs w:val="20"/>
                <w:color w:val="auto"/>
              </w:rPr>
              <w:t>SRP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15.3</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12,462</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19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92"/>
        </w:trPr>
        <w:tc>
          <w:tcPr>
            <w:tcW w:w="1920" w:type="dxa"/>
            <w:vAlign w:val="bottom"/>
          </w:tcPr>
          <w:p>
            <w:pPr>
              <w:ind w:left="100"/>
              <w:spacing w:after="0"/>
              <w:rPr>
                <w:sz w:val="20"/>
                <w:szCs w:val="20"/>
                <w:color w:val="auto"/>
              </w:rPr>
            </w:pPr>
            <w:r>
              <w:rPr>
                <w:rFonts w:ascii="Arial" w:cs="Arial" w:eastAsia="Arial" w:hAnsi="Arial"/>
                <w:sz w:val="20"/>
                <w:szCs w:val="20"/>
                <w:color w:val="auto"/>
              </w:rPr>
              <w:t>Mark L. Reuss</w:t>
            </w:r>
          </w:p>
        </w:tc>
        <w:tc>
          <w:tcPr>
            <w:tcW w:w="2180" w:type="dxa"/>
            <w:vAlign w:val="bottom"/>
          </w:tcPr>
          <w:p>
            <w:pPr>
              <w:ind w:left="220"/>
              <w:spacing w:after="0"/>
              <w:rPr>
                <w:sz w:val="20"/>
                <w:szCs w:val="20"/>
                <w:color w:val="auto"/>
              </w:rPr>
            </w:pPr>
            <w:r>
              <w:rPr>
                <w:rFonts w:ascii="Arial" w:cs="Arial" w:eastAsia="Arial" w:hAnsi="Arial"/>
                <w:sz w:val="20"/>
                <w:szCs w:val="20"/>
                <w:color w:val="auto"/>
              </w:rPr>
              <w:t>SRP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32.8</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1,006,602</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21"/>
        </w:trPr>
        <w:tc>
          <w:tcPr>
            <w:tcW w:w="1920" w:type="dxa"/>
            <w:vAlign w:val="bottom"/>
          </w:tcPr>
          <w:p>
            <w:pPr>
              <w:spacing w:after="0"/>
              <w:rPr>
                <w:sz w:val="24"/>
                <w:szCs w:val="24"/>
                <w:color w:val="auto"/>
              </w:rPr>
            </w:pPr>
          </w:p>
        </w:tc>
        <w:tc>
          <w:tcPr>
            <w:tcW w:w="2180" w:type="dxa"/>
            <w:vAlign w:val="bottom"/>
          </w:tcPr>
          <w:p>
            <w:pPr>
              <w:ind w:left="220"/>
              <w:spacing w:after="0"/>
              <w:rPr>
                <w:sz w:val="20"/>
                <w:szCs w:val="20"/>
                <w:color w:val="auto"/>
              </w:rPr>
            </w:pPr>
            <w:r>
              <w:rPr>
                <w:rFonts w:ascii="Arial" w:cs="Arial" w:eastAsia="Arial" w:hAnsi="Arial"/>
                <w:sz w:val="20"/>
                <w:szCs w:val="20"/>
                <w:color w:val="auto"/>
              </w:rPr>
              <w:t>DB ERP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32.8</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672,472</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19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92"/>
        </w:trPr>
        <w:tc>
          <w:tcPr>
            <w:tcW w:w="1920" w:type="dxa"/>
            <w:vAlign w:val="bottom"/>
          </w:tcPr>
          <w:p>
            <w:pPr>
              <w:ind w:left="100"/>
              <w:spacing w:after="0"/>
              <w:rPr>
                <w:sz w:val="20"/>
                <w:szCs w:val="20"/>
                <w:color w:val="auto"/>
              </w:rPr>
            </w:pPr>
            <w:r>
              <w:rPr>
                <w:rFonts w:ascii="Arial" w:cs="Arial" w:eastAsia="Arial" w:hAnsi="Arial"/>
                <w:sz w:val="20"/>
                <w:szCs w:val="20"/>
                <w:color w:val="auto"/>
              </w:rPr>
              <w:t>Barry L. Engle II</w:t>
            </w:r>
            <w:r>
              <w:rPr>
                <w:rFonts w:ascii="Arial" w:cs="Arial" w:eastAsia="Arial" w:hAnsi="Arial"/>
                <w:sz w:val="16"/>
                <w:szCs w:val="16"/>
                <w:color w:val="auto"/>
              </w:rPr>
              <w:t>(3)</w:t>
            </w:r>
          </w:p>
        </w:tc>
        <w:tc>
          <w:tcPr>
            <w:tcW w:w="2180" w:type="dxa"/>
            <w:vAlign w:val="bottom"/>
          </w:tcPr>
          <w:p>
            <w:pPr>
              <w:ind w:left="220"/>
              <w:spacing w:after="0"/>
              <w:rPr>
                <w:sz w:val="20"/>
                <w:szCs w:val="20"/>
                <w:color w:val="auto"/>
              </w:rPr>
            </w:pPr>
            <w:r>
              <w:rPr>
                <w:rFonts w:ascii="Arial" w:cs="Arial" w:eastAsia="Arial" w:hAnsi="Arial"/>
                <w:sz w:val="20"/>
                <w:szCs w:val="20"/>
                <w:color w:val="auto"/>
              </w:rPr>
              <w:t>—</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19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71"/>
        </w:trPr>
        <w:tc>
          <w:tcPr>
            <w:tcW w:w="1920" w:type="dxa"/>
            <w:vAlign w:val="bottom"/>
          </w:tcPr>
          <w:p>
            <w:pPr>
              <w:ind w:left="100"/>
              <w:spacing w:after="0"/>
              <w:rPr>
                <w:sz w:val="20"/>
                <w:szCs w:val="20"/>
                <w:color w:val="auto"/>
              </w:rPr>
            </w:pPr>
            <w:r>
              <w:rPr>
                <w:rFonts w:ascii="Arial" w:cs="Arial" w:eastAsia="Arial" w:hAnsi="Arial"/>
                <w:sz w:val="20"/>
                <w:szCs w:val="20"/>
                <w:color w:val="auto"/>
              </w:rPr>
              <w:t>Craig B.</w:t>
            </w:r>
          </w:p>
        </w:tc>
        <w:tc>
          <w:tcPr>
            <w:tcW w:w="21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36"/>
        </w:trPr>
        <w:tc>
          <w:tcPr>
            <w:tcW w:w="1920" w:type="dxa"/>
            <w:vAlign w:val="bottom"/>
          </w:tcPr>
          <w:p>
            <w:pPr>
              <w:ind w:left="100"/>
              <w:spacing w:after="0"/>
              <w:rPr>
                <w:sz w:val="20"/>
                <w:szCs w:val="20"/>
                <w:color w:val="auto"/>
              </w:rPr>
            </w:pPr>
            <w:r>
              <w:rPr>
                <w:rFonts w:ascii="Arial" w:cs="Arial" w:eastAsia="Arial" w:hAnsi="Arial"/>
                <w:sz w:val="20"/>
                <w:szCs w:val="20"/>
                <w:color w:val="auto"/>
              </w:rPr>
              <w:t>Glidden</w:t>
            </w:r>
            <w:r>
              <w:rPr>
                <w:rFonts w:ascii="Arial" w:cs="Arial" w:eastAsia="Arial" w:hAnsi="Arial"/>
                <w:sz w:val="16"/>
                <w:szCs w:val="16"/>
                <w:color w:val="auto"/>
              </w:rPr>
              <w:t>(3)</w:t>
            </w:r>
          </w:p>
        </w:tc>
        <w:tc>
          <w:tcPr>
            <w:tcW w:w="2180" w:type="dxa"/>
            <w:vAlign w:val="bottom"/>
          </w:tcPr>
          <w:p>
            <w:pPr>
              <w:ind w:left="220"/>
              <w:spacing w:after="0"/>
              <w:rPr>
                <w:sz w:val="20"/>
                <w:szCs w:val="20"/>
                <w:color w:val="auto"/>
              </w:rPr>
            </w:pPr>
            <w:r>
              <w:rPr>
                <w:rFonts w:ascii="Arial" w:cs="Arial" w:eastAsia="Arial" w:hAnsi="Arial"/>
                <w:sz w:val="20"/>
                <w:szCs w:val="20"/>
                <w:color w:val="auto"/>
              </w:rPr>
              <w:t>—</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2"/>
        </w:trPr>
        <w:tc>
          <w:tcPr>
            <w:tcW w:w="19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r>
      <w:tr>
        <w:trPr>
          <w:trHeight w:val="292"/>
        </w:trPr>
        <w:tc>
          <w:tcPr>
            <w:tcW w:w="1920" w:type="dxa"/>
            <w:vAlign w:val="bottom"/>
          </w:tcPr>
          <w:p>
            <w:pPr>
              <w:ind w:left="100"/>
              <w:spacing w:after="0"/>
              <w:rPr>
                <w:sz w:val="20"/>
                <w:szCs w:val="20"/>
                <w:color w:val="auto"/>
              </w:rPr>
            </w:pPr>
            <w:r>
              <w:rPr>
                <w:rFonts w:ascii="Arial" w:cs="Arial" w:eastAsia="Arial" w:hAnsi="Arial"/>
                <w:sz w:val="20"/>
                <w:szCs w:val="20"/>
                <w:color w:val="auto"/>
              </w:rPr>
              <w:t>Alan S. Batey</w:t>
            </w:r>
            <w:r>
              <w:rPr>
                <w:rFonts w:ascii="Arial" w:cs="Arial" w:eastAsia="Arial" w:hAnsi="Arial"/>
                <w:sz w:val="16"/>
                <w:szCs w:val="16"/>
                <w:color w:val="auto"/>
              </w:rPr>
              <w:t>(4)</w:t>
            </w:r>
          </w:p>
        </w:tc>
        <w:tc>
          <w:tcPr>
            <w:tcW w:w="2180" w:type="dxa"/>
            <w:vAlign w:val="bottom"/>
          </w:tcPr>
          <w:p>
            <w:pPr>
              <w:ind w:left="220"/>
              <w:spacing w:after="0"/>
              <w:rPr>
                <w:sz w:val="20"/>
                <w:szCs w:val="20"/>
                <w:color w:val="auto"/>
              </w:rPr>
            </w:pPr>
            <w:r>
              <w:rPr>
                <w:rFonts w:ascii="Arial" w:cs="Arial" w:eastAsia="Arial" w:hAnsi="Arial"/>
                <w:sz w:val="20"/>
                <w:szCs w:val="20"/>
                <w:color w:val="auto"/>
              </w:rPr>
              <w:t>SRP</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40.3</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60,132</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21"/>
        </w:trPr>
        <w:tc>
          <w:tcPr>
            <w:tcW w:w="1920" w:type="dxa"/>
            <w:vAlign w:val="bottom"/>
          </w:tcPr>
          <w:p>
            <w:pPr>
              <w:spacing w:after="0"/>
              <w:rPr>
                <w:sz w:val="24"/>
                <w:szCs w:val="24"/>
                <w:color w:val="auto"/>
              </w:rPr>
            </w:pPr>
          </w:p>
        </w:tc>
        <w:tc>
          <w:tcPr>
            <w:tcW w:w="2180" w:type="dxa"/>
            <w:vAlign w:val="bottom"/>
          </w:tcPr>
          <w:p>
            <w:pPr>
              <w:ind w:left="220"/>
              <w:spacing w:after="0"/>
              <w:rPr>
                <w:sz w:val="20"/>
                <w:szCs w:val="20"/>
                <w:color w:val="auto"/>
              </w:rPr>
            </w:pPr>
            <w:r>
              <w:rPr>
                <w:rFonts w:ascii="Arial" w:cs="Arial" w:eastAsia="Arial" w:hAnsi="Arial"/>
                <w:sz w:val="20"/>
                <w:szCs w:val="20"/>
                <w:color w:val="auto"/>
              </w:rPr>
              <w:t>VML Pension Plan</w:t>
            </w:r>
          </w:p>
        </w:tc>
        <w:tc>
          <w:tcPr>
            <w:tcW w:w="2880" w:type="dxa"/>
            <w:vAlign w:val="bottom"/>
          </w:tcPr>
          <w:p>
            <w:pPr>
              <w:jc w:val="right"/>
              <w:ind w:right="142"/>
              <w:spacing w:after="0"/>
              <w:rPr>
                <w:sz w:val="20"/>
                <w:szCs w:val="20"/>
                <w:color w:val="auto"/>
              </w:rPr>
            </w:pPr>
            <w:r>
              <w:rPr>
                <w:rFonts w:ascii="Arial" w:cs="Arial" w:eastAsia="Arial" w:hAnsi="Arial"/>
                <w:sz w:val="20"/>
                <w:szCs w:val="20"/>
                <w:color w:val="auto"/>
              </w:rPr>
              <w:t>31.8</w:t>
            </w:r>
          </w:p>
        </w:tc>
        <w:tc>
          <w:tcPr>
            <w:tcW w:w="2020" w:type="dxa"/>
            <w:vAlign w:val="bottom"/>
          </w:tcPr>
          <w:p>
            <w:pPr>
              <w:jc w:val="right"/>
              <w:ind w:right="142"/>
              <w:spacing w:after="0"/>
              <w:rPr>
                <w:sz w:val="20"/>
                <w:szCs w:val="20"/>
                <w:color w:val="auto"/>
              </w:rPr>
            </w:pPr>
            <w:r>
              <w:rPr>
                <w:rFonts w:ascii="Arial" w:cs="Arial" w:eastAsia="Arial" w:hAnsi="Arial"/>
                <w:sz w:val="20"/>
                <w:szCs w:val="20"/>
                <w:color w:val="auto"/>
              </w:rPr>
              <w:t>2,945,854</w:t>
            </w:r>
          </w:p>
        </w:tc>
        <w:tc>
          <w:tcPr>
            <w:tcW w:w="192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right="20" w:hanging="433"/>
        <w:spacing w:after="0" w:line="260" w:lineRule="auto"/>
        <w:tabs>
          <w:tab w:leader="none" w:pos="60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Eligible service recognizes credited service under the frozen qualified SRP in addition to future service to determine retirement eligibility.</w:t>
      </w:r>
    </w:p>
    <w:p>
      <w:pPr>
        <w:spacing w:after="0" w:line="32" w:lineRule="exact"/>
        <w:rPr>
          <w:rFonts w:ascii="Arial" w:cs="Arial" w:eastAsia="Arial" w:hAnsi="Arial"/>
          <w:sz w:val="18"/>
          <w:szCs w:val="18"/>
          <w:i w:val="1"/>
          <w:iCs w:val="1"/>
          <w:color w:val="auto"/>
        </w:rPr>
      </w:pPr>
    </w:p>
    <w:p>
      <w:pPr>
        <w:jc w:val="both"/>
        <w:ind w:left="600" w:right="20" w:hanging="433"/>
        <w:spacing w:after="0" w:line="238" w:lineRule="auto"/>
        <w:tabs>
          <w:tab w:leader="none" w:pos="60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2019, FASB ASC Topic 715, “Compensation-Retirement Benefits,” except where needed to meet proxy statement requirements. The discount rates used for calculations as of December 31, 2019, for the SRP is 3.44%; for the DB ERP is 2.97%; and for the VML Pension Plan is 1.97%.</w:t>
      </w:r>
    </w:p>
    <w:p>
      <w:pPr>
        <w:spacing w:after="0" w:line="52" w:lineRule="exact"/>
        <w:rPr>
          <w:rFonts w:ascii="Arial" w:cs="Arial" w:eastAsia="Arial" w:hAnsi="Arial"/>
          <w:sz w:val="18"/>
          <w:szCs w:val="18"/>
          <w:i w:val="1"/>
          <w:iCs w:val="1"/>
          <w:color w:val="auto"/>
        </w:rPr>
      </w:pPr>
    </w:p>
    <w:p>
      <w:pPr>
        <w:ind w:left="600" w:hanging="433"/>
        <w:spacing w:after="0"/>
        <w:tabs>
          <w:tab w:leader="none" w:pos="60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Mr. Engle and Mr. Glidden are only eligible to participate in defined contribution plans offered by the Company.</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Mr. Batey is a participant in the VML Pension Plan from his service in the United Kingdom.</w:t>
      </w:r>
    </w:p>
    <w:p>
      <w:pPr>
        <w:spacing w:after="0" w:line="348" w:lineRule="exact"/>
        <w:rPr>
          <w:sz w:val="20"/>
          <w:szCs w:val="20"/>
          <w:color w:val="auto"/>
        </w:rPr>
      </w:pPr>
    </w:p>
    <w:p>
      <w:pPr>
        <w:ind w:left="700" w:hanging="533"/>
        <w:spacing w:after="0"/>
        <w:tabs>
          <w:tab w:leader="none" w:pos="700" w:val="left"/>
        </w:tabs>
        <w:numPr>
          <w:ilvl w:val="0"/>
          <w:numId w:val="117"/>
        </w:numPr>
        <w:rPr>
          <w:rFonts w:ascii="Arial" w:cs="Arial" w:eastAsia="Arial" w:hAnsi="Arial"/>
          <w:sz w:val="25"/>
          <w:szCs w:val="25"/>
          <w:color w:val="0033A0"/>
        </w:rPr>
      </w:pPr>
      <w:r>
        <w:rPr>
          <w:rFonts w:ascii="Arial" w:cs="Arial" w:eastAsia="Arial" w:hAnsi="Arial"/>
          <w:sz w:val="25"/>
          <w:szCs w:val="25"/>
          <w:color w:val="auto"/>
        </w:rPr>
        <w:t>Nonqualified Deferred Compensation Plan</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 maintain certain deferred compensation programs and arrangements for executives.</w:t>
      </w:r>
    </w:p>
    <w:p>
      <w:pPr>
        <w:spacing w:after="0" w:line="118"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auto"/>
        </w:rPr>
        <w:t>The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29"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Aggregate account balances disclosed below include both vested and unvested contributions by the Company. Contributions made prior to 2007 were vested immediately. Contributions made between January 1, 2007, and September 30, 2012, vest when the participant attains age 55 with 10 years of service and the benefit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793865" cy="1016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69</w:t>
      </w:r>
    </w:p>
    <w:p>
      <w:pPr>
        <w:sectPr>
          <w:pgSz w:w="11900" w:h="16838" w:orient="portrait"/>
          <w:cols w:equalWidth="0" w:num="1">
            <w:col w:w="11100"/>
          </w:cols>
          <w:pgMar w:left="320" w:top="456"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as a five-year certain annuity, with payments starting upon the retirement of the executive and continuing for 60 months. Contributions made on October 1, 2012, and later vest when the participant attains three years of service, regardless of age, and the benefit is payable as a 100% lump sum upon the retirement of the executive.</w:t>
      </w:r>
    </w:p>
    <w:p>
      <w:pPr>
        <w:spacing w:after="0" w:line="128"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auto"/>
        </w:rPr>
        <w:t>The table below reflects December 31, 2019, balances for the nonqualified deferred compensation plan and any contributions, earnings, or withdrawals during the year.</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800" w:type="dxa"/>
            <w:vAlign w:val="bottom"/>
            <w:tcBorders>
              <w:top w:val="single" w:sz="8" w:color="00A1DF"/>
            </w:tcBorders>
          </w:tcPr>
          <w:p>
            <w:pPr>
              <w:spacing w:after="0"/>
              <w:rPr>
                <w:sz w:val="18"/>
                <w:szCs w:val="18"/>
                <w:color w:val="auto"/>
              </w:rPr>
            </w:pPr>
          </w:p>
        </w:tc>
        <w:tc>
          <w:tcPr>
            <w:tcW w:w="1160" w:type="dxa"/>
            <w:vAlign w:val="bottom"/>
            <w:tcBorders>
              <w:top w:val="single" w:sz="8" w:color="00A1DF"/>
            </w:tcBorders>
          </w:tcPr>
          <w:p>
            <w:pPr>
              <w:spacing w:after="0"/>
              <w:rPr>
                <w:sz w:val="18"/>
                <w:szCs w:val="18"/>
                <w:color w:val="auto"/>
              </w:rPr>
            </w:pPr>
          </w:p>
        </w:tc>
        <w:tc>
          <w:tcPr>
            <w:tcW w:w="1600" w:type="dxa"/>
            <w:vAlign w:val="bottom"/>
            <w:tcBorders>
              <w:top w:val="single" w:sz="8" w:color="00A1DF"/>
            </w:tcBorders>
          </w:tcPr>
          <w:p>
            <w:pPr>
              <w:jc w:val="right"/>
              <w:ind w:right="62"/>
              <w:spacing w:after="0" w:line="213" w:lineRule="exact"/>
              <w:rPr>
                <w:sz w:val="20"/>
                <w:szCs w:val="20"/>
                <w:color w:val="auto"/>
              </w:rPr>
            </w:pPr>
            <w:r>
              <w:rPr>
                <w:rFonts w:ascii="Arial" w:cs="Arial" w:eastAsia="Arial" w:hAnsi="Arial"/>
                <w:sz w:val="20"/>
                <w:szCs w:val="20"/>
                <w:b w:val="1"/>
                <w:bCs w:val="1"/>
                <w:color w:val="00A1DF"/>
              </w:rPr>
              <w:t>Executive</w:t>
            </w:r>
          </w:p>
        </w:tc>
        <w:tc>
          <w:tcPr>
            <w:tcW w:w="1600" w:type="dxa"/>
            <w:vAlign w:val="bottom"/>
            <w:tcBorders>
              <w:top w:val="single" w:sz="8" w:color="00A1DF"/>
            </w:tcBorders>
          </w:tcPr>
          <w:p>
            <w:pPr>
              <w:jc w:val="right"/>
              <w:ind w:right="42"/>
              <w:spacing w:after="0" w:line="213" w:lineRule="exact"/>
              <w:rPr>
                <w:sz w:val="20"/>
                <w:szCs w:val="20"/>
                <w:color w:val="auto"/>
              </w:rPr>
            </w:pPr>
            <w:r>
              <w:rPr>
                <w:rFonts w:ascii="Arial" w:cs="Arial" w:eastAsia="Arial" w:hAnsi="Arial"/>
                <w:sz w:val="20"/>
                <w:szCs w:val="20"/>
                <w:b w:val="1"/>
                <w:bCs w:val="1"/>
                <w:color w:val="00A1DF"/>
              </w:rPr>
              <w:t>Registrant</w:t>
            </w:r>
          </w:p>
        </w:tc>
        <w:tc>
          <w:tcPr>
            <w:tcW w:w="1540" w:type="dxa"/>
            <w:vAlign w:val="bottom"/>
            <w:tcBorders>
              <w:top w:val="single" w:sz="8" w:color="00A1DF"/>
            </w:tcBorders>
          </w:tcPr>
          <w:p>
            <w:pPr>
              <w:jc w:val="right"/>
              <w:ind w:right="42"/>
              <w:spacing w:after="0" w:line="213" w:lineRule="exact"/>
              <w:rPr>
                <w:sz w:val="20"/>
                <w:szCs w:val="20"/>
                <w:color w:val="auto"/>
              </w:rPr>
            </w:pPr>
            <w:r>
              <w:rPr>
                <w:rFonts w:ascii="Arial" w:cs="Arial" w:eastAsia="Arial" w:hAnsi="Arial"/>
                <w:sz w:val="20"/>
                <w:szCs w:val="20"/>
                <w:b w:val="1"/>
                <w:bCs w:val="1"/>
                <w:color w:val="00A1DF"/>
              </w:rPr>
              <w:t>Aggregate</w:t>
            </w:r>
          </w:p>
        </w:tc>
        <w:tc>
          <w:tcPr>
            <w:tcW w:w="1520" w:type="dxa"/>
            <w:vAlign w:val="bottom"/>
            <w:tcBorders>
              <w:top w:val="single" w:sz="8" w:color="00A1DF"/>
            </w:tcBorders>
          </w:tcPr>
          <w:p>
            <w:pPr>
              <w:jc w:val="right"/>
              <w:ind w:right="42"/>
              <w:spacing w:after="0" w:line="213" w:lineRule="exact"/>
              <w:rPr>
                <w:sz w:val="20"/>
                <w:szCs w:val="20"/>
                <w:color w:val="auto"/>
              </w:rPr>
            </w:pPr>
            <w:r>
              <w:rPr>
                <w:rFonts w:ascii="Arial" w:cs="Arial" w:eastAsia="Arial" w:hAnsi="Arial"/>
                <w:sz w:val="20"/>
                <w:szCs w:val="20"/>
                <w:b w:val="1"/>
                <w:bCs w:val="1"/>
                <w:color w:val="00A1DF"/>
              </w:rPr>
              <w:t>Aggregate</w:t>
            </w:r>
          </w:p>
        </w:tc>
        <w:tc>
          <w:tcPr>
            <w:tcW w:w="170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Aggregate</w:t>
            </w:r>
          </w:p>
        </w:tc>
      </w:tr>
      <w:tr>
        <w:trPr>
          <w:trHeight w:val="214"/>
        </w:trPr>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A1DF"/>
              </w:rPr>
              <w:t>Contributions</w:t>
            </w:r>
          </w:p>
        </w:tc>
        <w:tc>
          <w:tcPr>
            <w:tcW w:w="160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Contributions</w:t>
            </w:r>
          </w:p>
        </w:tc>
        <w:tc>
          <w:tcPr>
            <w:tcW w:w="154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Earnings</w:t>
            </w:r>
          </w:p>
        </w:tc>
        <w:tc>
          <w:tcPr>
            <w:tcW w:w="152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Withdrawals</w:t>
            </w:r>
          </w:p>
        </w:tc>
        <w:tc>
          <w:tcPr>
            <w:tcW w:w="170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Balance at 2019</w:t>
            </w:r>
          </w:p>
        </w:tc>
      </w:tr>
      <w:tr>
        <w:trPr>
          <w:trHeight w:val="214"/>
        </w:trPr>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A1DF"/>
              </w:rPr>
              <w:t>in the Last</w:t>
            </w:r>
          </w:p>
        </w:tc>
        <w:tc>
          <w:tcPr>
            <w:tcW w:w="160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in the Last</w:t>
            </w:r>
          </w:p>
        </w:tc>
        <w:tc>
          <w:tcPr>
            <w:tcW w:w="154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in the Last</w:t>
            </w:r>
          </w:p>
        </w:tc>
        <w:tc>
          <w:tcPr>
            <w:tcW w:w="152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and</w:t>
            </w:r>
          </w:p>
        </w:tc>
        <w:tc>
          <w:tcPr>
            <w:tcW w:w="170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Fiscal</w:t>
            </w:r>
          </w:p>
        </w:tc>
      </w:tr>
      <w:tr>
        <w:trPr>
          <w:trHeight w:val="214"/>
        </w:trPr>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ind w:right="62"/>
              <w:spacing w:after="0" w:line="214" w:lineRule="exact"/>
              <w:rPr>
                <w:sz w:val="20"/>
                <w:szCs w:val="20"/>
                <w:color w:val="auto"/>
              </w:rPr>
            </w:pPr>
            <w:r>
              <w:rPr>
                <w:rFonts w:ascii="Arial" w:cs="Arial" w:eastAsia="Arial" w:hAnsi="Arial"/>
                <w:sz w:val="20"/>
                <w:szCs w:val="20"/>
                <w:b w:val="1"/>
                <w:bCs w:val="1"/>
                <w:color w:val="00A1DF"/>
              </w:rPr>
              <w:t>Fiscal Year</w:t>
            </w:r>
          </w:p>
        </w:tc>
        <w:tc>
          <w:tcPr>
            <w:tcW w:w="160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Fiscal Year</w:t>
            </w:r>
            <w:r>
              <w:rPr>
                <w:rFonts w:ascii="Arial" w:cs="Arial" w:eastAsia="Arial" w:hAnsi="Arial"/>
                <w:sz w:val="16"/>
                <w:szCs w:val="16"/>
                <w:b w:val="1"/>
                <w:bCs w:val="1"/>
                <w:color w:val="00A1DF"/>
              </w:rPr>
              <w:t>(1)</w:t>
            </w:r>
          </w:p>
        </w:tc>
        <w:tc>
          <w:tcPr>
            <w:tcW w:w="154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Fiscal Year</w:t>
            </w:r>
            <w:r>
              <w:rPr>
                <w:rFonts w:ascii="Arial" w:cs="Arial" w:eastAsia="Arial" w:hAnsi="Arial"/>
                <w:sz w:val="16"/>
                <w:szCs w:val="16"/>
                <w:b w:val="1"/>
                <w:bCs w:val="1"/>
                <w:color w:val="00A1DF"/>
              </w:rPr>
              <w:t>(2)</w:t>
            </w:r>
          </w:p>
        </w:tc>
        <w:tc>
          <w:tcPr>
            <w:tcW w:w="1520" w:type="dxa"/>
            <w:vAlign w:val="bottom"/>
          </w:tcPr>
          <w:p>
            <w:pPr>
              <w:jc w:val="right"/>
              <w:ind w:right="42"/>
              <w:spacing w:after="0" w:line="214" w:lineRule="exact"/>
              <w:rPr>
                <w:sz w:val="20"/>
                <w:szCs w:val="20"/>
                <w:color w:val="auto"/>
              </w:rPr>
            </w:pPr>
            <w:r>
              <w:rPr>
                <w:rFonts w:ascii="Arial" w:cs="Arial" w:eastAsia="Arial" w:hAnsi="Arial"/>
                <w:sz w:val="20"/>
                <w:szCs w:val="20"/>
                <w:b w:val="1"/>
                <w:bCs w:val="1"/>
                <w:color w:val="00A1DF"/>
              </w:rPr>
              <w:t>Distributions</w:t>
            </w:r>
          </w:p>
        </w:tc>
        <w:tc>
          <w:tcPr>
            <w:tcW w:w="170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Year End</w:t>
            </w:r>
            <w:r>
              <w:rPr>
                <w:rFonts w:ascii="Arial" w:cs="Arial" w:eastAsia="Arial" w:hAnsi="Arial"/>
                <w:sz w:val="16"/>
                <w:szCs w:val="16"/>
                <w:b w:val="1"/>
                <w:bCs w:val="1"/>
                <w:color w:val="00A1DF"/>
              </w:rPr>
              <w:t>(3)</w:t>
            </w:r>
          </w:p>
        </w:tc>
      </w:tr>
      <w:tr>
        <w:trPr>
          <w:trHeight w:val="273"/>
        </w:trPr>
        <w:tc>
          <w:tcPr>
            <w:tcW w:w="1800" w:type="dxa"/>
            <w:vAlign w:val="bottom"/>
          </w:tcPr>
          <w:p>
            <w:pPr>
              <w:spacing w:after="0"/>
              <w:rPr>
                <w:sz w:val="20"/>
                <w:szCs w:val="20"/>
                <w:color w:val="auto"/>
              </w:rPr>
            </w:pPr>
            <w:r>
              <w:rPr>
                <w:rFonts w:ascii="Arial" w:cs="Arial" w:eastAsia="Arial" w:hAnsi="Arial"/>
                <w:sz w:val="20"/>
                <w:szCs w:val="20"/>
                <w:b w:val="1"/>
                <w:bCs w:val="1"/>
                <w:color w:val="00A1DF"/>
              </w:rPr>
              <w:t>Name</w:t>
            </w:r>
          </w:p>
        </w:tc>
        <w:tc>
          <w:tcPr>
            <w:tcW w:w="1160" w:type="dxa"/>
            <w:vAlign w:val="bottom"/>
          </w:tcPr>
          <w:p>
            <w:pPr>
              <w:jc w:val="right"/>
              <w:ind w:right="62"/>
              <w:spacing w:after="0"/>
              <w:rPr>
                <w:sz w:val="20"/>
                <w:szCs w:val="20"/>
                <w:color w:val="auto"/>
              </w:rPr>
            </w:pPr>
            <w:r>
              <w:rPr>
                <w:rFonts w:ascii="Arial" w:cs="Arial" w:eastAsia="Arial" w:hAnsi="Arial"/>
                <w:sz w:val="20"/>
                <w:szCs w:val="20"/>
                <w:b w:val="1"/>
                <w:bCs w:val="1"/>
                <w:color w:val="00A1DF"/>
              </w:rPr>
              <w:t>Plan</w:t>
            </w:r>
          </w:p>
        </w:tc>
        <w:tc>
          <w:tcPr>
            <w:tcW w:w="1600" w:type="dxa"/>
            <w:vAlign w:val="bottom"/>
          </w:tcPr>
          <w:p>
            <w:pPr>
              <w:jc w:val="right"/>
              <w:ind w:right="62"/>
              <w:spacing w:after="0"/>
              <w:rPr>
                <w:sz w:val="20"/>
                <w:szCs w:val="20"/>
                <w:color w:val="auto"/>
              </w:rPr>
            </w:pPr>
            <w:r>
              <w:rPr>
                <w:rFonts w:ascii="Arial" w:cs="Arial" w:eastAsia="Arial" w:hAnsi="Arial"/>
                <w:sz w:val="20"/>
                <w:szCs w:val="20"/>
                <w:b w:val="1"/>
                <w:bCs w:val="1"/>
                <w:color w:val="00A1DF"/>
              </w:rPr>
              <w:t>($)</w:t>
            </w:r>
          </w:p>
        </w:tc>
        <w:tc>
          <w:tcPr>
            <w:tcW w:w="1600" w:type="dxa"/>
            <w:vAlign w:val="bottom"/>
          </w:tcPr>
          <w:p>
            <w:pPr>
              <w:jc w:val="right"/>
              <w:ind w:right="42"/>
              <w:spacing w:after="0"/>
              <w:rPr>
                <w:sz w:val="20"/>
                <w:szCs w:val="20"/>
                <w:color w:val="auto"/>
              </w:rPr>
            </w:pPr>
            <w:r>
              <w:rPr>
                <w:rFonts w:ascii="Arial" w:cs="Arial" w:eastAsia="Arial" w:hAnsi="Arial"/>
                <w:sz w:val="20"/>
                <w:szCs w:val="20"/>
                <w:b w:val="1"/>
                <w:bCs w:val="1"/>
                <w:color w:val="00A1DF"/>
              </w:rPr>
              <w:t>($)</w:t>
            </w:r>
          </w:p>
        </w:tc>
        <w:tc>
          <w:tcPr>
            <w:tcW w:w="1540" w:type="dxa"/>
            <w:vAlign w:val="bottom"/>
          </w:tcPr>
          <w:p>
            <w:pPr>
              <w:jc w:val="right"/>
              <w:ind w:right="42"/>
              <w:spacing w:after="0"/>
              <w:rPr>
                <w:sz w:val="20"/>
                <w:szCs w:val="20"/>
                <w:color w:val="auto"/>
              </w:rPr>
            </w:pPr>
            <w:r>
              <w:rPr>
                <w:rFonts w:ascii="Arial" w:cs="Arial" w:eastAsia="Arial" w:hAnsi="Arial"/>
                <w:sz w:val="20"/>
                <w:szCs w:val="20"/>
                <w:b w:val="1"/>
                <w:bCs w:val="1"/>
                <w:color w:val="00A1DF"/>
              </w:rPr>
              <w:t>($)</w:t>
            </w:r>
          </w:p>
        </w:tc>
        <w:tc>
          <w:tcPr>
            <w:tcW w:w="1520" w:type="dxa"/>
            <w:vAlign w:val="bottom"/>
          </w:tcPr>
          <w:p>
            <w:pPr>
              <w:jc w:val="right"/>
              <w:ind w:right="42"/>
              <w:spacing w:after="0"/>
              <w:rPr>
                <w:sz w:val="20"/>
                <w:szCs w:val="20"/>
                <w:color w:val="auto"/>
              </w:rPr>
            </w:pPr>
            <w:r>
              <w:rPr>
                <w:rFonts w:ascii="Arial" w:cs="Arial" w:eastAsia="Arial" w:hAnsi="Arial"/>
                <w:sz w:val="20"/>
                <w:szCs w:val="20"/>
                <w:b w:val="1"/>
                <w:bCs w:val="1"/>
                <w:color w:val="00A1DF"/>
              </w:rPr>
              <w:t>($)</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00A1DF"/>
              </w:rPr>
              <w:t>($)</w:t>
            </w:r>
          </w:p>
        </w:tc>
      </w:tr>
      <w:tr>
        <w:trPr>
          <w:trHeight w:val="62"/>
        </w:trPr>
        <w:tc>
          <w:tcPr>
            <w:tcW w:w="1800" w:type="dxa"/>
            <w:vAlign w:val="bottom"/>
            <w:tcBorders>
              <w:bottom w:val="single" w:sz="8" w:color="00A1DF"/>
            </w:tcBorders>
          </w:tcPr>
          <w:p>
            <w:pPr>
              <w:spacing w:after="0"/>
              <w:rPr>
                <w:sz w:val="5"/>
                <w:szCs w:val="5"/>
                <w:color w:val="auto"/>
              </w:rPr>
            </w:pPr>
          </w:p>
        </w:tc>
        <w:tc>
          <w:tcPr>
            <w:tcW w:w="1160" w:type="dxa"/>
            <w:vAlign w:val="bottom"/>
            <w:tcBorders>
              <w:bottom w:val="single" w:sz="8" w:color="00A1DF"/>
            </w:tcBorders>
          </w:tcPr>
          <w:p>
            <w:pPr>
              <w:spacing w:after="0"/>
              <w:rPr>
                <w:sz w:val="5"/>
                <w:szCs w:val="5"/>
                <w:color w:val="auto"/>
              </w:rPr>
            </w:pPr>
          </w:p>
        </w:tc>
        <w:tc>
          <w:tcPr>
            <w:tcW w:w="1600" w:type="dxa"/>
            <w:vAlign w:val="bottom"/>
            <w:tcBorders>
              <w:bottom w:val="single" w:sz="8" w:color="00A1DF"/>
            </w:tcBorders>
          </w:tcPr>
          <w:p>
            <w:pPr>
              <w:spacing w:after="0"/>
              <w:rPr>
                <w:sz w:val="5"/>
                <w:szCs w:val="5"/>
                <w:color w:val="auto"/>
              </w:rPr>
            </w:pPr>
          </w:p>
        </w:tc>
        <w:tc>
          <w:tcPr>
            <w:tcW w:w="1600" w:type="dxa"/>
            <w:vAlign w:val="bottom"/>
            <w:tcBorders>
              <w:bottom w:val="single" w:sz="8" w:color="00A1DF"/>
            </w:tcBorders>
          </w:tcPr>
          <w:p>
            <w:pPr>
              <w:spacing w:after="0"/>
              <w:rPr>
                <w:sz w:val="5"/>
                <w:szCs w:val="5"/>
                <w:color w:val="auto"/>
              </w:rPr>
            </w:pPr>
          </w:p>
        </w:tc>
        <w:tc>
          <w:tcPr>
            <w:tcW w:w="1540" w:type="dxa"/>
            <w:vAlign w:val="bottom"/>
            <w:tcBorders>
              <w:bottom w:val="single" w:sz="8" w:color="00A1DF"/>
            </w:tcBorders>
          </w:tcPr>
          <w:p>
            <w:pPr>
              <w:spacing w:after="0"/>
              <w:rPr>
                <w:sz w:val="5"/>
                <w:szCs w:val="5"/>
                <w:color w:val="auto"/>
              </w:rPr>
            </w:pPr>
          </w:p>
        </w:tc>
        <w:tc>
          <w:tcPr>
            <w:tcW w:w="1520" w:type="dxa"/>
            <w:vAlign w:val="bottom"/>
            <w:tcBorders>
              <w:bottom w:val="single" w:sz="8" w:color="00A1DF"/>
            </w:tcBorders>
          </w:tcPr>
          <w:p>
            <w:pPr>
              <w:spacing w:after="0"/>
              <w:rPr>
                <w:sz w:val="5"/>
                <w:szCs w:val="5"/>
                <w:color w:val="auto"/>
              </w:rPr>
            </w:pPr>
          </w:p>
        </w:tc>
        <w:tc>
          <w:tcPr>
            <w:tcW w:w="1700" w:type="dxa"/>
            <w:vAlign w:val="bottom"/>
            <w:tcBorders>
              <w:bottom w:val="single" w:sz="8" w:color="00A1DF"/>
            </w:tcBorders>
          </w:tcPr>
          <w:p>
            <w:pPr>
              <w:spacing w:after="0"/>
              <w:rPr>
                <w:sz w:val="5"/>
                <w:szCs w:val="5"/>
                <w:color w:val="auto"/>
              </w:rPr>
            </w:pPr>
          </w:p>
        </w:tc>
      </w:tr>
      <w:tr>
        <w:trPr>
          <w:trHeight w:val="292"/>
        </w:trPr>
        <w:tc>
          <w:tcPr>
            <w:tcW w:w="1800" w:type="dxa"/>
            <w:vAlign w:val="bottom"/>
          </w:tcPr>
          <w:p>
            <w:pPr>
              <w:ind w:left="100"/>
              <w:spacing w:after="0"/>
              <w:rPr>
                <w:sz w:val="20"/>
                <w:szCs w:val="20"/>
                <w:color w:val="auto"/>
              </w:rPr>
            </w:pPr>
            <w:r>
              <w:rPr>
                <w:rFonts w:ascii="Arial" w:cs="Arial" w:eastAsia="Arial" w:hAnsi="Arial"/>
                <w:sz w:val="20"/>
                <w:szCs w:val="20"/>
                <w:color w:val="auto"/>
              </w:rPr>
              <w:t>Mary T. Barra</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461,981</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485,419</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3,048,647</w:t>
            </w:r>
          </w:p>
        </w:tc>
      </w:tr>
      <w:tr>
        <w:trPr>
          <w:trHeight w:val="62"/>
        </w:trPr>
        <w:tc>
          <w:tcPr>
            <w:tcW w:w="1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71"/>
        </w:trPr>
        <w:tc>
          <w:tcPr>
            <w:tcW w:w="1800" w:type="dxa"/>
            <w:vAlign w:val="bottom"/>
          </w:tcPr>
          <w:p>
            <w:pPr>
              <w:ind w:left="100"/>
              <w:spacing w:after="0"/>
              <w:rPr>
                <w:sz w:val="20"/>
                <w:szCs w:val="20"/>
                <w:color w:val="auto"/>
              </w:rPr>
            </w:pPr>
            <w:r>
              <w:rPr>
                <w:rFonts w:ascii="Arial" w:cs="Arial" w:eastAsia="Arial" w:hAnsi="Arial"/>
                <w:sz w:val="20"/>
                <w:szCs w:val="20"/>
                <w:color w:val="auto"/>
              </w:rPr>
              <w:t>Dhivya</w:t>
            </w:r>
          </w:p>
        </w:tc>
        <w:tc>
          <w:tcPr>
            <w:tcW w:w="1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5"/>
        </w:trPr>
        <w:tc>
          <w:tcPr>
            <w:tcW w:w="1800" w:type="dxa"/>
            <w:vAlign w:val="bottom"/>
          </w:tcPr>
          <w:p>
            <w:pPr>
              <w:ind w:left="100"/>
              <w:spacing w:after="0"/>
              <w:rPr>
                <w:sz w:val="20"/>
                <w:szCs w:val="20"/>
                <w:color w:val="auto"/>
              </w:rPr>
            </w:pPr>
            <w:r>
              <w:rPr>
                <w:rFonts w:ascii="Arial" w:cs="Arial" w:eastAsia="Arial" w:hAnsi="Arial"/>
                <w:sz w:val="20"/>
                <w:szCs w:val="20"/>
                <w:color w:val="auto"/>
              </w:rPr>
              <w:t>Suryadevara</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117,700</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58,224</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394,471</w:t>
            </w:r>
          </w:p>
        </w:tc>
      </w:tr>
      <w:tr>
        <w:trPr>
          <w:trHeight w:val="62"/>
        </w:trPr>
        <w:tc>
          <w:tcPr>
            <w:tcW w:w="1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92"/>
        </w:trPr>
        <w:tc>
          <w:tcPr>
            <w:tcW w:w="1800" w:type="dxa"/>
            <w:vAlign w:val="bottom"/>
          </w:tcPr>
          <w:p>
            <w:pPr>
              <w:ind w:left="100"/>
              <w:spacing w:after="0"/>
              <w:rPr>
                <w:sz w:val="20"/>
                <w:szCs w:val="20"/>
                <w:color w:val="auto"/>
              </w:rPr>
            </w:pPr>
            <w:r>
              <w:rPr>
                <w:rFonts w:ascii="Arial" w:cs="Arial" w:eastAsia="Arial" w:hAnsi="Arial"/>
                <w:sz w:val="20"/>
                <w:szCs w:val="20"/>
                <w:color w:val="auto"/>
              </w:rPr>
              <w:t>Mark L. Reuss</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205,400</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226,063</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1,376,541</w:t>
            </w:r>
          </w:p>
        </w:tc>
      </w:tr>
      <w:tr>
        <w:trPr>
          <w:trHeight w:val="62"/>
        </w:trPr>
        <w:tc>
          <w:tcPr>
            <w:tcW w:w="1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92"/>
        </w:trPr>
        <w:tc>
          <w:tcPr>
            <w:tcW w:w="1800" w:type="dxa"/>
            <w:vAlign w:val="bottom"/>
          </w:tcPr>
          <w:p>
            <w:pPr>
              <w:ind w:left="100"/>
              <w:spacing w:after="0"/>
              <w:rPr>
                <w:sz w:val="20"/>
                <w:szCs w:val="20"/>
                <w:color w:val="auto"/>
              </w:rPr>
            </w:pPr>
            <w:r>
              <w:rPr>
                <w:rFonts w:ascii="Arial" w:cs="Arial" w:eastAsia="Arial" w:hAnsi="Arial"/>
                <w:sz w:val="20"/>
                <w:szCs w:val="20"/>
                <w:color w:val="auto"/>
              </w:rPr>
              <w:t>Barry L. Engle II</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98,400</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59,019</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385,734</w:t>
            </w:r>
          </w:p>
        </w:tc>
      </w:tr>
      <w:tr>
        <w:trPr>
          <w:trHeight w:val="62"/>
        </w:trPr>
        <w:tc>
          <w:tcPr>
            <w:tcW w:w="1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92"/>
        </w:trPr>
        <w:tc>
          <w:tcPr>
            <w:tcW w:w="1800" w:type="dxa"/>
            <w:vAlign w:val="bottom"/>
          </w:tcPr>
          <w:p>
            <w:pPr>
              <w:ind w:left="100"/>
              <w:spacing w:after="0"/>
              <w:rPr>
                <w:sz w:val="20"/>
                <w:szCs w:val="20"/>
                <w:color w:val="auto"/>
              </w:rPr>
            </w:pPr>
            <w:r>
              <w:rPr>
                <w:rFonts w:ascii="Arial" w:cs="Arial" w:eastAsia="Arial" w:hAnsi="Arial"/>
                <w:sz w:val="20"/>
                <w:szCs w:val="20"/>
                <w:color w:val="auto"/>
              </w:rPr>
              <w:t>Craig B. Glidden</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95,326</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76,653</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515,478</w:t>
            </w:r>
          </w:p>
        </w:tc>
      </w:tr>
      <w:tr>
        <w:trPr>
          <w:trHeight w:val="62"/>
        </w:trPr>
        <w:tc>
          <w:tcPr>
            <w:tcW w:w="1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r>
        <w:trPr>
          <w:trHeight w:val="292"/>
        </w:trPr>
        <w:tc>
          <w:tcPr>
            <w:tcW w:w="1800" w:type="dxa"/>
            <w:vAlign w:val="bottom"/>
          </w:tcPr>
          <w:p>
            <w:pPr>
              <w:ind w:left="100"/>
              <w:spacing w:after="0"/>
              <w:rPr>
                <w:sz w:val="20"/>
                <w:szCs w:val="20"/>
                <w:color w:val="auto"/>
              </w:rPr>
            </w:pPr>
            <w:r>
              <w:rPr>
                <w:rFonts w:ascii="Arial" w:cs="Arial" w:eastAsia="Arial" w:hAnsi="Arial"/>
                <w:sz w:val="20"/>
                <w:szCs w:val="20"/>
                <w:color w:val="auto"/>
              </w:rPr>
              <w:t>Alan S. Batey</w:t>
            </w:r>
          </w:p>
        </w:tc>
        <w:tc>
          <w:tcPr>
            <w:tcW w:w="1160" w:type="dxa"/>
            <w:vAlign w:val="bottom"/>
          </w:tcPr>
          <w:p>
            <w:pPr>
              <w:jc w:val="right"/>
              <w:ind w:right="62"/>
              <w:spacing w:after="0"/>
              <w:rPr>
                <w:sz w:val="20"/>
                <w:szCs w:val="20"/>
                <w:color w:val="auto"/>
              </w:rPr>
            </w:pPr>
            <w:r>
              <w:rPr>
                <w:rFonts w:ascii="Arial" w:cs="Arial" w:eastAsia="Arial" w:hAnsi="Arial"/>
                <w:sz w:val="20"/>
                <w:szCs w:val="20"/>
                <w:color w:val="auto"/>
              </w:rPr>
              <w:t>DC ERP</w:t>
            </w:r>
          </w:p>
        </w:tc>
        <w:tc>
          <w:tcPr>
            <w:tcW w:w="16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42"/>
              <w:spacing w:after="0"/>
              <w:rPr>
                <w:sz w:val="20"/>
                <w:szCs w:val="20"/>
                <w:color w:val="auto"/>
              </w:rPr>
            </w:pPr>
            <w:r>
              <w:rPr>
                <w:rFonts w:ascii="Arial" w:cs="Arial" w:eastAsia="Arial" w:hAnsi="Arial"/>
                <w:sz w:val="20"/>
                <w:szCs w:val="20"/>
                <w:color w:val="auto"/>
              </w:rPr>
              <w:t>152,712</w:t>
            </w:r>
          </w:p>
        </w:tc>
        <w:tc>
          <w:tcPr>
            <w:tcW w:w="1540" w:type="dxa"/>
            <w:vAlign w:val="bottom"/>
          </w:tcPr>
          <w:p>
            <w:pPr>
              <w:jc w:val="right"/>
              <w:ind w:right="42"/>
              <w:spacing w:after="0"/>
              <w:rPr>
                <w:sz w:val="20"/>
                <w:szCs w:val="20"/>
                <w:color w:val="auto"/>
              </w:rPr>
            </w:pPr>
            <w:r>
              <w:rPr>
                <w:rFonts w:ascii="Arial" w:cs="Arial" w:eastAsia="Arial" w:hAnsi="Arial"/>
                <w:sz w:val="20"/>
                <w:szCs w:val="20"/>
                <w:color w:val="auto"/>
              </w:rPr>
              <w:t>188,038</w:t>
            </w:r>
          </w:p>
        </w:tc>
        <w:tc>
          <w:tcPr>
            <w:tcW w:w="152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1,124,811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shown are included in All Other Compensation in the Summary Compensation Table.</w:t>
      </w:r>
    </w:p>
    <w:p>
      <w:pPr>
        <w:spacing w:after="0" w:line="73" w:lineRule="exact"/>
        <w:rPr>
          <w:rFonts w:ascii="Arial" w:cs="Arial" w:eastAsia="Arial" w:hAnsi="Arial"/>
          <w:sz w:val="18"/>
          <w:szCs w:val="18"/>
          <w:i w:val="1"/>
          <w:iCs w:val="1"/>
          <w:color w:val="auto"/>
        </w:rPr>
      </w:pPr>
    </w:p>
    <w:p>
      <w:pPr>
        <w:ind w:left="600" w:hanging="433"/>
        <w:spacing w:after="0" w:line="260" w:lineRule="auto"/>
        <w:tabs>
          <w:tab w:leader="none" w:pos="60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shown are not reported in Change in Pension Value and Nonqualified Deferred Compensation Earnings in the Summary Compensation Table because we do not pay above-market earnings on deferred compensation.</w:t>
      </w:r>
    </w:p>
    <w:p>
      <w:pPr>
        <w:spacing w:after="0" w:line="32" w:lineRule="exact"/>
        <w:rPr>
          <w:rFonts w:ascii="Arial" w:cs="Arial" w:eastAsia="Arial" w:hAnsi="Arial"/>
          <w:sz w:val="18"/>
          <w:szCs w:val="18"/>
          <w:i w:val="1"/>
          <w:iCs w:val="1"/>
          <w:color w:val="auto"/>
        </w:rPr>
      </w:pPr>
    </w:p>
    <w:p>
      <w:pPr>
        <w:ind w:left="600" w:hanging="433"/>
        <w:spacing w:after="0" w:line="260" w:lineRule="auto"/>
        <w:tabs>
          <w:tab w:leader="none" w:pos="60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amounts have been included in the Summary Compensation Table in prior years: $1,891,074 (Ms. Barra), $66,032 (Ms. Suryadevara), $869,866 (Mr. Reuss), $25,467 (Mr. Glidden), and $541,528 (Mr. Batey).</w:t>
      </w:r>
    </w:p>
    <w:p>
      <w:pPr>
        <w:spacing w:after="0" w:line="307" w:lineRule="exact"/>
        <w:rPr>
          <w:sz w:val="20"/>
          <w:szCs w:val="20"/>
          <w:color w:val="auto"/>
        </w:rPr>
      </w:pPr>
    </w:p>
    <w:p>
      <w:pPr>
        <w:ind w:left="700" w:hanging="533"/>
        <w:spacing w:after="0"/>
        <w:tabs>
          <w:tab w:leader="none" w:pos="700" w:val="left"/>
        </w:tabs>
        <w:numPr>
          <w:ilvl w:val="0"/>
          <w:numId w:val="119"/>
        </w:numPr>
        <w:rPr>
          <w:rFonts w:ascii="Arial" w:cs="Arial" w:eastAsia="Arial" w:hAnsi="Arial"/>
          <w:sz w:val="25"/>
          <w:szCs w:val="25"/>
          <w:color w:val="0033A0"/>
        </w:rPr>
      </w:pPr>
      <w:r>
        <w:rPr>
          <w:rFonts w:ascii="Arial" w:cs="Arial" w:eastAsia="Arial" w:hAnsi="Arial"/>
          <w:sz w:val="25"/>
          <w:szCs w:val="25"/>
          <w:color w:val="auto"/>
        </w:rPr>
        <w:t>Potential Payments Upon Termination</w:t>
      </w:r>
    </w:p>
    <w:p>
      <w:pPr>
        <w:spacing w:after="0" w:line="135"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The Company does not maintain individual employment agreements with any NEO that provide guaranteed payments in the event of a termination of employment or change in control. In the event that a NEO’s position with the Company is eliminated, including the elimination of the NEO’s position as a result of a change in control, the NEO would be eligible for a severance payment under the General Motors LLC U.S. Executive Severance Program (“Executive Severance Program”).</w:t>
      </w:r>
    </w:p>
    <w:p>
      <w:pPr>
        <w:spacing w:after="0" w:line="129"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The table below shows the potential payments to each NEO assuming a termination of employment on December 31, 2019, due to the following events: voluntary separation or termination for cause, qualifying termination under the Executive Severance Program, full career status retirement, disability, death, and change in control with termination of employment. Each of the separation events is described in more detail below. These provisions are generally applicable to participants in each of the applicable plans and are not reserved only for NEOs. The payments below are in addition to the present value of the accumulated benefits from each NEO’s qualified and nonqualified pension plans shown in the Pension Benefits table on page 69 of this Proxy Statement, and the aggregate balance due to each NEO that is shown in the Nonqualified Deferred Compensation Plan table above.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For purposes of the following table, the Company describes these terminations and potential payments:</w:t>
      </w:r>
    </w:p>
    <w:p>
      <w:pPr>
        <w:spacing w:after="0" w:line="94"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33A0"/>
        </w:rPr>
        <w:t xml:space="preserve">Voluntary Separation or Termination for Cause </w:t>
      </w:r>
      <w:r>
        <w:rPr>
          <w:rFonts w:ascii="Arial" w:cs="Arial" w:eastAsia="Arial" w:hAnsi="Arial"/>
          <w:sz w:val="20"/>
          <w:szCs w:val="20"/>
          <w:color w:val="000000"/>
        </w:rPr>
        <w:t>– A voluntary separation occurs when an executive voluntarily terminates</w:t>
      </w:r>
      <w:r>
        <w:rPr>
          <w:rFonts w:ascii="Arial" w:cs="Arial" w:eastAsia="Arial" w:hAnsi="Arial"/>
          <w:sz w:val="20"/>
          <w:szCs w:val="20"/>
          <w:b w:val="1"/>
          <w:bCs w:val="1"/>
          <w:color w:val="0033A0"/>
        </w:rPr>
        <w:t xml:space="preserve"> </w:t>
      </w:r>
      <w:r>
        <w:rPr>
          <w:rFonts w:ascii="Arial" w:cs="Arial" w:eastAsia="Arial" w:hAnsi="Arial"/>
          <w:sz w:val="20"/>
          <w:szCs w:val="20"/>
          <w:color w:val="000000"/>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82550</wp:posOffset>
            </wp:positionV>
            <wp:extent cx="6793865" cy="1016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70</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b w:val="1"/>
          <w:bCs w:val="1"/>
          <w:color w:val="0033A0"/>
        </w:rPr>
        <w:t xml:space="preserve">Executive Severance Program </w:t>
      </w:r>
      <w:r>
        <w:rPr>
          <w:rFonts w:ascii="Arial" w:cs="Arial" w:eastAsia="Arial" w:hAnsi="Arial"/>
          <w:sz w:val="20"/>
          <w:szCs w:val="20"/>
          <w:color w:val="000000"/>
        </w:rPr>
        <w:t>– A separation occurs when an executive’s position is eliminated or the Company and an</w:t>
      </w:r>
      <w:r>
        <w:rPr>
          <w:rFonts w:ascii="Arial" w:cs="Arial" w:eastAsia="Arial" w:hAnsi="Arial"/>
          <w:sz w:val="20"/>
          <w:szCs w:val="20"/>
          <w:b w:val="1"/>
          <w:bCs w:val="1"/>
          <w:color w:val="0033A0"/>
        </w:rPr>
        <w:t xml:space="preserve"> </w:t>
      </w:r>
      <w:r>
        <w:rPr>
          <w:rFonts w:ascii="Arial" w:cs="Arial" w:eastAsia="Arial" w:hAnsi="Arial"/>
          <w:sz w:val="20"/>
          <w:szCs w:val="20"/>
          <w:color w:val="000000"/>
        </w:rPr>
        <w:t>executive agree to mutually end the employment relationship. An executive will be eligible to receive a severance payment from the Company calculated based on his or her position and reflected as a multiple of base salary, COBRA, and a STIP award at target. An executive will receive cash payments of the value of the equity awards that are scheduled to vest within the next year after separation at the time of vesting. All unvested Stock Options are usually forfeited. An executive is also eligible for outplacement assistance based on position. All the potential payments are contingent upon the executive entering into a mutual separation agreement.</w:t>
      </w:r>
    </w:p>
    <w:p>
      <w:pPr>
        <w:spacing w:after="0" w:line="102" w:lineRule="exact"/>
        <w:rPr>
          <w:sz w:val="20"/>
          <w:szCs w:val="20"/>
          <w:color w:val="auto"/>
        </w:rPr>
      </w:pPr>
    </w:p>
    <w:p>
      <w:pPr>
        <w:jc w:val="both"/>
        <w:ind w:left="160" w:right="20"/>
        <w:spacing w:after="0" w:line="235" w:lineRule="auto"/>
        <w:rPr>
          <w:sz w:val="20"/>
          <w:szCs w:val="20"/>
          <w:color w:val="auto"/>
        </w:rPr>
      </w:pPr>
      <w:r>
        <w:rPr>
          <w:rFonts w:ascii="Arial" w:cs="Arial" w:eastAsia="Arial" w:hAnsi="Arial"/>
          <w:sz w:val="20"/>
          <w:szCs w:val="20"/>
          <w:b w:val="1"/>
          <w:bCs w:val="1"/>
          <w:color w:val="0033A0"/>
        </w:rPr>
        <w:t xml:space="preserve">Full Career Status Retirement </w:t>
      </w:r>
      <w:r>
        <w:rPr>
          <w:rFonts w:ascii="Arial" w:cs="Arial" w:eastAsia="Arial" w:hAnsi="Arial"/>
          <w:sz w:val="20"/>
          <w:szCs w:val="20"/>
          <w:color w:val="000000"/>
        </w:rPr>
        <w:t>– A full career status retirement occurs when an executive reaches the age of 55 with 10 or</w:t>
      </w:r>
      <w:r>
        <w:rPr>
          <w:rFonts w:ascii="Arial" w:cs="Arial" w:eastAsia="Arial" w:hAnsi="Arial"/>
          <w:sz w:val="20"/>
          <w:szCs w:val="20"/>
          <w:b w:val="1"/>
          <w:bCs w:val="1"/>
          <w:color w:val="0033A0"/>
        </w:rPr>
        <w:t xml:space="preserve"> </w:t>
      </w:r>
      <w:r>
        <w:rPr>
          <w:rFonts w:ascii="Arial" w:cs="Arial" w:eastAsia="Arial" w:hAnsi="Arial"/>
          <w:sz w:val="20"/>
          <w:szCs w:val="20"/>
          <w:color w:val="000000"/>
        </w:rPr>
        <w:t>more years of continuous service with the Company, or age 62 or older, at which time the executive voluntarily separates from the Company. If an executive enters into a separation or severance agreement, they cannot also elect full career status retirement.</w:t>
      </w:r>
    </w:p>
    <w:p>
      <w:pPr>
        <w:spacing w:after="0" w:line="113" w:lineRule="exact"/>
        <w:rPr>
          <w:sz w:val="20"/>
          <w:szCs w:val="20"/>
          <w:color w:val="auto"/>
        </w:rPr>
      </w:pPr>
    </w:p>
    <w:p>
      <w:pPr>
        <w:jc w:val="both"/>
        <w:ind w:left="160" w:right="20"/>
        <w:spacing w:after="0" w:line="225" w:lineRule="auto"/>
        <w:rPr>
          <w:sz w:val="20"/>
          <w:szCs w:val="20"/>
          <w:color w:val="auto"/>
        </w:rPr>
      </w:pPr>
      <w:r>
        <w:rPr>
          <w:rFonts w:ascii="Arial" w:cs="Arial" w:eastAsia="Arial" w:hAnsi="Arial"/>
          <w:sz w:val="20"/>
          <w:szCs w:val="20"/>
          <w:color w:val="auto"/>
        </w:rPr>
        <w:t>In the event of a full career status retirement, the executive is generally eligible for a prorated STIP award based on months of active service in the performance year as of their retirement date and once final performance has been determined. RSUs granted within one year prior to the date of retirement are prorated based on months of active service from the grant date to the date of retirement. RSUs granted more than one year prior to the date of retirement continue to vest in accordance with their vesting schedule. PSUs granted within one year prior to the date of retirement are prorated based on months of active service from the start of the performance period to the date of retirement and will be adjusted for final company performance against the performance measures contained in the awards; such awards will be payable following approval of such performance. PSUs granted more than one year prior to the date of retirement will remain outstanding until the end of the performance period, at which time they will be adjusted for final company performance and be settled following approval of such performance. Stock Options granted within one year prior to the date of retirement are prorated based on months of active service from the grant date to the date of retirement. Stock Options granted more than one year prior to the date of retirement will continue to vest in accordance with their vesting schedule.</w:t>
      </w:r>
    </w:p>
    <w:p>
      <w:pPr>
        <w:spacing w:after="0" w:line="104"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b w:val="1"/>
          <w:bCs w:val="1"/>
          <w:color w:val="0033A0"/>
        </w:rPr>
        <w:t xml:space="preserve">Disability </w:t>
      </w:r>
      <w:r>
        <w:rPr>
          <w:rFonts w:ascii="Arial" w:cs="Arial" w:eastAsia="Arial" w:hAnsi="Arial"/>
          <w:sz w:val="20"/>
          <w:szCs w:val="20"/>
          <w:color w:val="000000"/>
        </w:rPr>
        <w:t>– Disability occurs when an executive terminates employment by reason of their inability to engage in any gainful</w:t>
      </w:r>
      <w:r>
        <w:rPr>
          <w:rFonts w:ascii="Arial" w:cs="Arial" w:eastAsia="Arial" w:hAnsi="Arial"/>
          <w:sz w:val="20"/>
          <w:szCs w:val="20"/>
          <w:b w:val="1"/>
          <w:bCs w:val="1"/>
          <w:color w:val="0033A0"/>
        </w:rPr>
        <w:t xml:space="preserve"> </w:t>
      </w:r>
      <w:r>
        <w:rPr>
          <w:rFonts w:ascii="Arial" w:cs="Arial" w:eastAsia="Arial" w:hAnsi="Arial"/>
          <w:sz w:val="20"/>
          <w:szCs w:val="20"/>
          <w:color w:val="000000"/>
        </w:rPr>
        <w:t>activity due to a medically determinable physical or mental impairment that can be expected to result in death or can be expected to last for a continuous period of not less than 12 months. Executives are eligible for a full-year STIP award related to the year in which termination occurs once final company performance has been determined. RSUs continue to vest according to their vesting schedule. PSUs vest immediately upon such termination and will remain outstanding until the end of the performance period, at which time they will be adjusted for final company performance and be settled following approval of such performance. Stock Options will continue to vest in accordance with their vesting schedule.</w:t>
      </w:r>
    </w:p>
    <w:p>
      <w:pPr>
        <w:spacing w:after="0" w:line="102"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20"/>
          <w:szCs w:val="20"/>
          <w:b w:val="1"/>
          <w:bCs w:val="1"/>
          <w:color w:val="0033A0"/>
        </w:rPr>
        <w:t xml:space="preserve">Death </w:t>
      </w:r>
      <w:r>
        <w:rPr>
          <w:rFonts w:ascii="Arial" w:cs="Arial" w:eastAsia="Arial" w:hAnsi="Arial"/>
          <w:sz w:val="20"/>
          <w:szCs w:val="20"/>
          <w:color w:val="000000"/>
        </w:rPr>
        <w:t>– Following the death of an executive, the beneficiary of the executive will be eligible to receive the full-year STIP</w:t>
      </w:r>
      <w:r>
        <w:rPr>
          <w:rFonts w:ascii="Arial" w:cs="Arial" w:eastAsia="Arial" w:hAnsi="Arial"/>
          <w:sz w:val="20"/>
          <w:szCs w:val="20"/>
          <w:b w:val="1"/>
          <w:bCs w:val="1"/>
          <w:color w:val="0033A0"/>
        </w:rPr>
        <w:t xml:space="preserve"> </w:t>
      </w:r>
      <w:r>
        <w:rPr>
          <w:rFonts w:ascii="Arial" w:cs="Arial" w:eastAsia="Arial" w:hAnsi="Arial"/>
          <w:sz w:val="20"/>
          <w:szCs w:val="20"/>
          <w:color w:val="000000"/>
        </w:rPr>
        <w:t>award subject to adjustment for final company performance. RSUs immediately vest in full and are settled within 90 days of death. PSUs vest immediately upon death and will remain outstanding until the end of the performance period, at which time they will be adjusted for final company performance and be settled following approval of such performance. Stock Options vest immediately upon death.</w:t>
      </w:r>
    </w:p>
    <w:p>
      <w:pPr>
        <w:spacing w:after="0" w:line="92" w:lineRule="exact"/>
        <w:rPr>
          <w:sz w:val="20"/>
          <w:szCs w:val="20"/>
          <w:color w:val="auto"/>
        </w:rPr>
      </w:pPr>
    </w:p>
    <w:p>
      <w:pPr>
        <w:jc w:val="both"/>
        <w:ind w:left="160" w:right="20"/>
        <w:spacing w:after="0" w:line="229" w:lineRule="auto"/>
        <w:rPr>
          <w:sz w:val="20"/>
          <w:szCs w:val="20"/>
          <w:color w:val="auto"/>
        </w:rPr>
      </w:pPr>
      <w:r>
        <w:rPr>
          <w:rFonts w:ascii="Arial" w:cs="Arial" w:eastAsia="Arial" w:hAnsi="Arial"/>
          <w:sz w:val="20"/>
          <w:szCs w:val="20"/>
          <w:b w:val="1"/>
          <w:bCs w:val="1"/>
          <w:color w:val="0033A0"/>
        </w:rPr>
        <w:t xml:space="preserve">Change in Control (Double Trigger) </w:t>
      </w:r>
      <w:r>
        <w:rPr>
          <w:rFonts w:ascii="Arial" w:cs="Arial" w:eastAsia="Arial" w:hAnsi="Arial"/>
          <w:sz w:val="20"/>
          <w:szCs w:val="20"/>
          <w:color w:val="000000"/>
        </w:rPr>
        <w:t>– In the event of a termination of employment resulting from a change in control, an</w:t>
      </w:r>
      <w:r>
        <w:rPr>
          <w:rFonts w:ascii="Arial" w:cs="Arial" w:eastAsia="Arial" w:hAnsi="Arial"/>
          <w:sz w:val="20"/>
          <w:szCs w:val="20"/>
          <w:b w:val="1"/>
          <w:bCs w:val="1"/>
          <w:color w:val="0033A0"/>
        </w:rPr>
        <w:t xml:space="preserve"> </w:t>
      </w:r>
      <w:r>
        <w:rPr>
          <w:rFonts w:ascii="Arial" w:cs="Arial" w:eastAsia="Arial" w:hAnsi="Arial"/>
          <w:sz w:val="20"/>
          <w:szCs w:val="20"/>
          <w:color w:val="000000"/>
        </w:rPr>
        <w:t>executive will be eligible for severance under the Executive Severance Program that provides a severance payment based on position and a multiple of base salary and COBRA. Executives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71</w:t>
      </w:r>
    </w:p>
    <w:p>
      <w:pPr>
        <w:sectPr>
          <w:pgSz w:w="11900" w:h="16838" w:orient="portrait"/>
          <w:cols w:equalWidth="0" w:num="1">
            <w:col w:w="11100"/>
          </w:cols>
          <w:pgMar w:left="320" w:top="45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Amounts shown below are calculated by assuming that the relevant employment termination event occurred on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2640" w:type="dxa"/>
            <w:vAlign w:val="bottom"/>
            <w:tcBorders>
              <w:top w:val="single" w:sz="8" w:color="00A1DF"/>
            </w:tcBorders>
          </w:tcPr>
          <w:p>
            <w:pPr>
              <w:spacing w:after="0"/>
              <w:rPr>
                <w:sz w:val="14"/>
                <w:szCs w:val="14"/>
                <w:color w:val="auto"/>
              </w:rPr>
            </w:pPr>
          </w:p>
        </w:tc>
        <w:tc>
          <w:tcPr>
            <w:tcW w:w="1320" w:type="dxa"/>
            <w:vAlign w:val="bottom"/>
            <w:tcBorders>
              <w:top w:val="single" w:sz="8" w:color="00A1DF"/>
            </w:tcBorders>
          </w:tcPr>
          <w:p>
            <w:pPr>
              <w:spacing w:after="0"/>
              <w:rPr>
                <w:sz w:val="14"/>
                <w:szCs w:val="14"/>
                <w:color w:val="auto"/>
              </w:rPr>
            </w:pPr>
          </w:p>
        </w:tc>
        <w:tc>
          <w:tcPr>
            <w:tcW w:w="1260" w:type="dxa"/>
            <w:vAlign w:val="bottom"/>
            <w:tcBorders>
              <w:top w:val="single" w:sz="8" w:color="00A1DF"/>
            </w:tcBorders>
          </w:tcPr>
          <w:p>
            <w:pPr>
              <w:jc w:val="right"/>
              <w:ind w:right="104"/>
              <w:spacing w:after="0" w:line="166" w:lineRule="exact"/>
              <w:rPr>
                <w:sz w:val="20"/>
                <w:szCs w:val="20"/>
                <w:color w:val="auto"/>
              </w:rPr>
            </w:pPr>
            <w:r>
              <w:rPr>
                <w:rFonts w:ascii="Arial" w:cs="Arial" w:eastAsia="Arial" w:hAnsi="Arial"/>
                <w:sz w:val="15"/>
                <w:szCs w:val="15"/>
                <w:b w:val="1"/>
                <w:bCs w:val="1"/>
                <w:color w:val="00A1DF"/>
              </w:rPr>
              <w:t>Voluntary</w:t>
            </w:r>
          </w:p>
        </w:tc>
        <w:tc>
          <w:tcPr>
            <w:tcW w:w="1080" w:type="dxa"/>
            <w:vAlign w:val="bottom"/>
            <w:tcBorders>
              <w:top w:val="single" w:sz="8" w:color="00A1DF"/>
            </w:tcBorders>
          </w:tcPr>
          <w:p>
            <w:pPr>
              <w:spacing w:after="0"/>
              <w:rPr>
                <w:sz w:val="14"/>
                <w:szCs w:val="14"/>
                <w:color w:val="auto"/>
              </w:rPr>
            </w:pPr>
          </w:p>
        </w:tc>
        <w:tc>
          <w:tcPr>
            <w:tcW w:w="1320" w:type="dxa"/>
            <w:vAlign w:val="bottom"/>
            <w:tcBorders>
              <w:top w:val="single" w:sz="8" w:color="00A1DF"/>
            </w:tcBorders>
          </w:tcPr>
          <w:p>
            <w:pPr>
              <w:spacing w:after="0"/>
              <w:rPr>
                <w:sz w:val="14"/>
                <w:szCs w:val="14"/>
                <w:color w:val="auto"/>
              </w:rPr>
            </w:pPr>
          </w:p>
        </w:tc>
        <w:tc>
          <w:tcPr>
            <w:tcW w:w="1140" w:type="dxa"/>
            <w:vAlign w:val="bottom"/>
            <w:tcBorders>
              <w:top w:val="single" w:sz="8" w:color="00A1DF"/>
            </w:tcBorders>
          </w:tcPr>
          <w:p>
            <w:pPr>
              <w:spacing w:after="0"/>
              <w:rPr>
                <w:sz w:val="14"/>
                <w:szCs w:val="14"/>
                <w:color w:val="auto"/>
              </w:rPr>
            </w:pPr>
          </w:p>
        </w:tc>
        <w:tc>
          <w:tcPr>
            <w:tcW w:w="1060" w:type="dxa"/>
            <w:vAlign w:val="bottom"/>
            <w:tcBorders>
              <w:top w:val="single" w:sz="8" w:color="00A1DF"/>
            </w:tcBorders>
          </w:tcPr>
          <w:p>
            <w:pPr>
              <w:spacing w:after="0"/>
              <w:rPr>
                <w:sz w:val="14"/>
                <w:szCs w:val="14"/>
                <w:color w:val="auto"/>
              </w:rPr>
            </w:pPr>
          </w:p>
        </w:tc>
        <w:tc>
          <w:tcPr>
            <w:tcW w:w="1100" w:type="dxa"/>
            <w:vAlign w:val="bottom"/>
            <w:tcBorders>
              <w:top w:val="single" w:sz="8" w:color="00A1DF"/>
            </w:tcBorders>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320" w:type="dxa"/>
            <w:vAlign w:val="bottom"/>
          </w:tcPr>
          <w:p>
            <w:pPr>
              <w:ind w:left="180"/>
              <w:spacing w:after="0" w:line="169" w:lineRule="exact"/>
              <w:rPr>
                <w:sz w:val="20"/>
                <w:szCs w:val="20"/>
                <w:color w:val="auto"/>
              </w:rPr>
            </w:pPr>
            <w:r>
              <w:rPr>
                <w:rFonts w:ascii="Arial" w:cs="Arial" w:eastAsia="Arial" w:hAnsi="Arial"/>
                <w:sz w:val="15"/>
                <w:szCs w:val="15"/>
                <w:b w:val="1"/>
                <w:bCs w:val="1"/>
                <w:color w:val="00A1DF"/>
              </w:rPr>
              <w:t>Compensation</w:t>
            </w:r>
          </w:p>
        </w:tc>
        <w:tc>
          <w:tcPr>
            <w:tcW w:w="1260" w:type="dxa"/>
            <w:vAlign w:val="bottom"/>
          </w:tcPr>
          <w:p>
            <w:pPr>
              <w:jc w:val="right"/>
              <w:ind w:right="104"/>
              <w:spacing w:after="0" w:line="169" w:lineRule="exact"/>
              <w:rPr>
                <w:sz w:val="20"/>
                <w:szCs w:val="20"/>
                <w:color w:val="auto"/>
              </w:rPr>
            </w:pPr>
            <w:r>
              <w:rPr>
                <w:rFonts w:ascii="Arial" w:cs="Arial" w:eastAsia="Arial" w:hAnsi="Arial"/>
                <w:sz w:val="15"/>
                <w:szCs w:val="15"/>
                <w:b w:val="1"/>
                <w:bCs w:val="1"/>
                <w:color w:val="00A1DF"/>
              </w:rPr>
              <w:t>Separation or</w:t>
            </w:r>
          </w:p>
        </w:tc>
        <w:tc>
          <w:tcPr>
            <w:tcW w:w="108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00A1DF"/>
              </w:rPr>
              <w:t>Executive</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right"/>
              <w:ind w:right="24"/>
              <w:spacing w:after="0" w:line="169" w:lineRule="exact"/>
              <w:rPr>
                <w:sz w:val="20"/>
                <w:szCs w:val="20"/>
                <w:color w:val="auto"/>
              </w:rPr>
            </w:pPr>
            <w:r>
              <w:rPr>
                <w:rFonts w:ascii="Arial" w:cs="Arial" w:eastAsia="Arial" w:hAnsi="Arial"/>
                <w:sz w:val="15"/>
                <w:szCs w:val="15"/>
                <w:b w:val="1"/>
                <w:bCs w:val="1"/>
                <w:color w:val="00A1DF"/>
              </w:rPr>
              <w:t>Change in</w:t>
            </w:r>
          </w:p>
        </w:tc>
      </w:tr>
      <w:tr>
        <w:trPr>
          <w:trHeight w:val="160"/>
        </w:trPr>
        <w:tc>
          <w:tcPr>
            <w:tcW w:w="2640" w:type="dxa"/>
            <w:vAlign w:val="bottom"/>
          </w:tcPr>
          <w:p>
            <w:pPr>
              <w:spacing w:after="0"/>
              <w:rPr>
                <w:sz w:val="13"/>
                <w:szCs w:val="13"/>
                <w:color w:val="auto"/>
              </w:rPr>
            </w:pPr>
          </w:p>
        </w:tc>
        <w:tc>
          <w:tcPr>
            <w:tcW w:w="1320" w:type="dxa"/>
            <w:vAlign w:val="bottom"/>
          </w:tcPr>
          <w:p>
            <w:pPr>
              <w:jc w:val="right"/>
              <w:ind w:right="5"/>
              <w:spacing w:after="0" w:line="161" w:lineRule="exact"/>
              <w:rPr>
                <w:sz w:val="20"/>
                <w:szCs w:val="20"/>
                <w:color w:val="auto"/>
              </w:rPr>
            </w:pPr>
            <w:r>
              <w:rPr>
                <w:rFonts w:ascii="Arial" w:cs="Arial" w:eastAsia="Arial" w:hAnsi="Arial"/>
                <w:sz w:val="15"/>
                <w:szCs w:val="15"/>
                <w:b w:val="1"/>
                <w:bCs w:val="1"/>
                <w:color w:val="00A1DF"/>
              </w:rPr>
              <w:t>Element</w:t>
            </w:r>
            <w:r>
              <w:rPr>
                <w:rFonts w:ascii="Arial" w:cs="Arial" w:eastAsia="Arial" w:hAnsi="Arial"/>
                <w:sz w:val="12"/>
                <w:szCs w:val="12"/>
                <w:b w:val="1"/>
                <w:bCs w:val="1"/>
                <w:color w:val="00A1DF"/>
              </w:rPr>
              <w:t>(1)(2)</w:t>
            </w:r>
          </w:p>
        </w:tc>
        <w:tc>
          <w:tcPr>
            <w:tcW w:w="1260" w:type="dxa"/>
            <w:vAlign w:val="bottom"/>
          </w:tcPr>
          <w:p>
            <w:pPr>
              <w:jc w:val="right"/>
              <w:ind w:right="104"/>
              <w:spacing w:after="0" w:line="161" w:lineRule="exact"/>
              <w:rPr>
                <w:sz w:val="20"/>
                <w:szCs w:val="20"/>
                <w:color w:val="auto"/>
              </w:rPr>
            </w:pPr>
            <w:r>
              <w:rPr>
                <w:rFonts w:ascii="Arial" w:cs="Arial" w:eastAsia="Arial" w:hAnsi="Arial"/>
                <w:sz w:val="15"/>
                <w:szCs w:val="15"/>
                <w:b w:val="1"/>
                <w:bCs w:val="1"/>
                <w:color w:val="00A1DF"/>
              </w:rPr>
              <w:t>Termination</w:t>
            </w:r>
          </w:p>
        </w:tc>
        <w:tc>
          <w:tcPr>
            <w:tcW w:w="1080" w:type="dxa"/>
            <w:vAlign w:val="bottom"/>
          </w:tcPr>
          <w:p>
            <w:pPr>
              <w:jc w:val="right"/>
              <w:ind w:right="84"/>
              <w:spacing w:after="0" w:line="161" w:lineRule="exact"/>
              <w:rPr>
                <w:sz w:val="20"/>
                <w:szCs w:val="20"/>
                <w:color w:val="auto"/>
              </w:rPr>
            </w:pPr>
            <w:r>
              <w:rPr>
                <w:rFonts w:ascii="Arial" w:cs="Arial" w:eastAsia="Arial" w:hAnsi="Arial"/>
                <w:sz w:val="15"/>
                <w:szCs w:val="15"/>
                <w:b w:val="1"/>
                <w:bCs w:val="1"/>
                <w:color w:val="00A1DF"/>
              </w:rPr>
              <w:t>Severance</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jc w:val="right"/>
              <w:ind w:right="24"/>
              <w:spacing w:after="0" w:line="161" w:lineRule="exact"/>
              <w:rPr>
                <w:sz w:val="20"/>
                <w:szCs w:val="20"/>
                <w:color w:val="auto"/>
              </w:rPr>
            </w:pPr>
            <w:r>
              <w:rPr>
                <w:rFonts w:ascii="Arial" w:cs="Arial" w:eastAsia="Arial" w:hAnsi="Arial"/>
                <w:sz w:val="15"/>
                <w:szCs w:val="15"/>
                <w:b w:val="1"/>
                <w:bCs w:val="1"/>
                <w:color w:val="00A1DF"/>
              </w:rPr>
              <w:t>Control with</w:t>
            </w:r>
          </w:p>
        </w:tc>
      </w:tr>
      <w:tr>
        <w:trPr>
          <w:trHeight w:val="204"/>
        </w:trPr>
        <w:tc>
          <w:tcPr>
            <w:tcW w:w="2640" w:type="dxa"/>
            <w:vAlign w:val="bottom"/>
          </w:tcPr>
          <w:p>
            <w:pPr>
              <w:spacing w:after="0"/>
              <w:rPr>
                <w:sz w:val="20"/>
                <w:szCs w:val="20"/>
                <w:color w:val="auto"/>
              </w:rPr>
            </w:pPr>
            <w:r>
              <w:rPr>
                <w:rFonts w:ascii="Arial" w:cs="Arial" w:eastAsia="Arial" w:hAnsi="Arial"/>
                <w:sz w:val="15"/>
                <w:szCs w:val="15"/>
                <w:b w:val="1"/>
                <w:bCs w:val="1"/>
                <w:color w:val="00A1DF"/>
              </w:rPr>
              <w:t>Name</w:t>
            </w:r>
          </w:p>
        </w:tc>
        <w:tc>
          <w:tcPr>
            <w:tcW w:w="1320" w:type="dxa"/>
            <w:vAlign w:val="bottom"/>
          </w:tcPr>
          <w:p>
            <w:pPr>
              <w:jc w:val="right"/>
              <w:ind w:right="5"/>
              <w:spacing w:after="0"/>
              <w:rPr>
                <w:sz w:val="20"/>
                <w:szCs w:val="20"/>
                <w:color w:val="auto"/>
              </w:rPr>
            </w:pPr>
            <w:r>
              <w:rPr>
                <w:rFonts w:ascii="Arial" w:cs="Arial" w:eastAsia="Arial" w:hAnsi="Arial"/>
                <w:sz w:val="13"/>
                <w:szCs w:val="13"/>
                <w:b w:val="1"/>
                <w:bCs w:val="1"/>
                <w:color w:val="00A1DF"/>
              </w:rPr>
              <w:t>(3)</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00A1DF"/>
              </w:rPr>
              <w:t>for Cause</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00A1DF"/>
              </w:rPr>
              <w:t>Program</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00A1DF"/>
              </w:rPr>
              <w:t>Retirement</w:t>
            </w:r>
            <w:r>
              <w:rPr>
                <w:rFonts w:ascii="Arial" w:cs="Arial" w:eastAsia="Arial" w:hAnsi="Arial"/>
                <w:sz w:val="12"/>
                <w:szCs w:val="12"/>
                <w:b w:val="1"/>
                <w:bCs w:val="1"/>
                <w:color w:val="00A1DF"/>
              </w:rPr>
              <w:t>(4)</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00A1DF"/>
              </w:rPr>
              <w:t>Disability</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00A1DF"/>
              </w:rPr>
              <w:t>Death</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00A1DF"/>
              </w:rPr>
              <w:t>Termination</w:t>
            </w:r>
          </w:p>
        </w:tc>
      </w:tr>
      <w:tr>
        <w:trPr>
          <w:trHeight w:val="63"/>
        </w:trPr>
        <w:tc>
          <w:tcPr>
            <w:tcW w:w="2640" w:type="dxa"/>
            <w:vAlign w:val="bottom"/>
            <w:tcBorders>
              <w:bottom w:val="single" w:sz="8" w:color="00A1DF"/>
            </w:tcBorders>
          </w:tcPr>
          <w:p>
            <w:pPr>
              <w:spacing w:after="0"/>
              <w:rPr>
                <w:sz w:val="5"/>
                <w:szCs w:val="5"/>
                <w:color w:val="auto"/>
              </w:rPr>
            </w:pPr>
          </w:p>
        </w:tc>
        <w:tc>
          <w:tcPr>
            <w:tcW w:w="1320" w:type="dxa"/>
            <w:vAlign w:val="bottom"/>
            <w:tcBorders>
              <w:bottom w:val="single" w:sz="8" w:color="00A1DF"/>
            </w:tcBorders>
          </w:tcPr>
          <w:p>
            <w:pPr>
              <w:spacing w:after="0"/>
              <w:rPr>
                <w:sz w:val="5"/>
                <w:szCs w:val="5"/>
                <w:color w:val="auto"/>
              </w:rPr>
            </w:pPr>
          </w:p>
        </w:tc>
        <w:tc>
          <w:tcPr>
            <w:tcW w:w="1260" w:type="dxa"/>
            <w:vAlign w:val="bottom"/>
            <w:tcBorders>
              <w:bottom w:val="single" w:sz="8" w:color="00A1DF"/>
            </w:tcBorders>
          </w:tcPr>
          <w:p>
            <w:pPr>
              <w:spacing w:after="0"/>
              <w:rPr>
                <w:sz w:val="5"/>
                <w:szCs w:val="5"/>
                <w:color w:val="auto"/>
              </w:rPr>
            </w:pPr>
          </w:p>
        </w:tc>
        <w:tc>
          <w:tcPr>
            <w:tcW w:w="1080" w:type="dxa"/>
            <w:vAlign w:val="bottom"/>
            <w:tcBorders>
              <w:bottom w:val="single" w:sz="8" w:color="00A1DF"/>
            </w:tcBorders>
          </w:tcPr>
          <w:p>
            <w:pPr>
              <w:spacing w:after="0"/>
              <w:rPr>
                <w:sz w:val="5"/>
                <w:szCs w:val="5"/>
                <w:color w:val="auto"/>
              </w:rPr>
            </w:pPr>
          </w:p>
        </w:tc>
        <w:tc>
          <w:tcPr>
            <w:tcW w:w="1320" w:type="dxa"/>
            <w:vAlign w:val="bottom"/>
            <w:tcBorders>
              <w:bottom w:val="single" w:sz="8" w:color="00A1DF"/>
            </w:tcBorders>
          </w:tcPr>
          <w:p>
            <w:pPr>
              <w:spacing w:after="0"/>
              <w:rPr>
                <w:sz w:val="5"/>
                <w:szCs w:val="5"/>
                <w:color w:val="auto"/>
              </w:rPr>
            </w:pPr>
          </w:p>
        </w:tc>
        <w:tc>
          <w:tcPr>
            <w:tcW w:w="1140" w:type="dxa"/>
            <w:vAlign w:val="bottom"/>
            <w:tcBorders>
              <w:bottom w:val="single" w:sz="8" w:color="00A1DF"/>
            </w:tcBorders>
          </w:tcPr>
          <w:p>
            <w:pPr>
              <w:spacing w:after="0"/>
              <w:rPr>
                <w:sz w:val="5"/>
                <w:szCs w:val="5"/>
                <w:color w:val="auto"/>
              </w:rPr>
            </w:pPr>
          </w:p>
        </w:tc>
        <w:tc>
          <w:tcPr>
            <w:tcW w:w="1060" w:type="dxa"/>
            <w:vAlign w:val="bottom"/>
            <w:tcBorders>
              <w:bottom w:val="single" w:sz="8" w:color="00A1DF"/>
            </w:tcBorders>
          </w:tcPr>
          <w:p>
            <w:pPr>
              <w:spacing w:after="0"/>
              <w:rPr>
                <w:sz w:val="5"/>
                <w:szCs w:val="5"/>
                <w:color w:val="auto"/>
              </w:rPr>
            </w:pPr>
          </w:p>
        </w:tc>
        <w:tc>
          <w:tcPr>
            <w:tcW w:w="1100" w:type="dxa"/>
            <w:vAlign w:val="bottom"/>
            <w:tcBorders>
              <w:bottom w:val="single" w:sz="8" w:color="00A1DF"/>
            </w:tcBorders>
          </w:tcPr>
          <w:p>
            <w:pPr>
              <w:spacing w:after="0"/>
              <w:rPr>
                <w:sz w:val="5"/>
                <w:szCs w:val="5"/>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Mary T. Barra</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4,239,507</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4,224,507</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4,200,000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2,394,000</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2,394,000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2,394,000</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4,200,000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16,865,170</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39,113,562</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39,113,562</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39,113,562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39,113,562</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25,304,677</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41,507,562</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41,507,562</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41,507,562</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47,538,069</w:t>
            </w:r>
          </w:p>
        </w:tc>
      </w:tr>
      <w:tr>
        <w:trPr>
          <w:trHeight w:val="50"/>
        </w:trPr>
        <w:tc>
          <w:tcPr>
            <w:tcW w:w="2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Dhivya Suryadevara</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1,533,380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1,518,380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1,250,000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712,500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712,500</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1,250,000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953,576</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6,706,181</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6,706,181</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6,706,181</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3,736,956</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7,418,681</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7,418,681</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9,474,561</w:t>
            </w:r>
          </w:p>
        </w:tc>
      </w:tr>
      <w:tr>
        <w:trPr>
          <w:trHeight w:val="50"/>
        </w:trPr>
        <w:tc>
          <w:tcPr>
            <w:tcW w:w="2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Mark L. Reuss</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1,854,598</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1,839,598</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1,500,000</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855,000</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855,000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855,000</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1,500,000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5,254,186</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12,347,342</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12,347,342</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12,347,342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12,347,342</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8,608,784</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13,202,342</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13,202,342</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13,202,342</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15,686,940</w:t>
            </w:r>
          </w:p>
        </w:tc>
      </w:tr>
      <w:tr>
        <w:trPr>
          <w:trHeight w:val="50"/>
        </w:trPr>
        <w:tc>
          <w:tcPr>
            <w:tcW w:w="2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Barry L. Engle</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1,233,380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1,218,380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1,000,000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570,000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570,000</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1,000,000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2,035,180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6,123,166</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6,123,166</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6,123,166</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4,268,560</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6,693,166</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6,693,166</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8,341,546</w:t>
            </w:r>
          </w:p>
        </w:tc>
      </w:tr>
      <w:tr>
        <w:trPr>
          <w:trHeight w:val="50"/>
        </w:trPr>
        <w:tc>
          <w:tcPr>
            <w:tcW w:w="2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Craig B. Glidden</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1,211,970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1,196,970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968,800</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552,200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552,200</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968,800</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3,056,832</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6,842,792</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6,842,792</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6,842,792</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5,237,602</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7,394,992</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7,394,992</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9,008,562</w:t>
            </w:r>
          </w:p>
        </w:tc>
      </w:tr>
      <w:tr>
        <w:trPr>
          <w:trHeight w:val="50"/>
        </w:trPr>
        <w:tc>
          <w:tcPr>
            <w:tcW w:w="26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ind w:left="80"/>
              <w:spacing w:after="0"/>
              <w:rPr>
                <w:sz w:val="20"/>
                <w:szCs w:val="20"/>
                <w:color w:val="auto"/>
              </w:rPr>
            </w:pPr>
            <w:r>
              <w:rPr>
                <w:rFonts w:ascii="Arial" w:cs="Arial" w:eastAsia="Arial" w:hAnsi="Arial"/>
                <w:sz w:val="15"/>
                <w:szCs w:val="15"/>
                <w:color w:val="auto"/>
              </w:rPr>
              <w:t>Alan S. Batey</w:t>
            </w:r>
            <w:r>
              <w:rPr>
                <w:rFonts w:ascii="Arial" w:cs="Arial" w:eastAsia="Arial" w:hAnsi="Arial"/>
                <w:sz w:val="12"/>
                <w:szCs w:val="12"/>
                <w:color w:val="auto"/>
              </w:rPr>
              <w:t>(5)</w:t>
            </w:r>
          </w:p>
        </w:tc>
        <w:tc>
          <w:tcPr>
            <w:tcW w:w="1320" w:type="dxa"/>
            <w:vAlign w:val="bottom"/>
          </w:tcPr>
          <w:p>
            <w:pPr>
              <w:ind w:left="180"/>
              <w:spacing w:after="0"/>
              <w:rPr>
                <w:sz w:val="20"/>
                <w:szCs w:val="20"/>
                <w:color w:val="auto"/>
              </w:rPr>
            </w:pPr>
            <w:r>
              <w:rPr>
                <w:rFonts w:ascii="Arial" w:cs="Arial" w:eastAsia="Arial" w:hAnsi="Arial"/>
                <w:sz w:val="15"/>
                <w:szCs w:val="15"/>
                <w:color w:val="auto"/>
              </w:rPr>
              <w:t>Cash</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STIP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44"/>
              <w:spacing w:after="0"/>
              <w:rPr>
                <w:sz w:val="20"/>
                <w:szCs w:val="20"/>
                <w:color w:val="auto"/>
              </w:rPr>
            </w:pPr>
            <w:r>
              <w:rPr>
                <w:rFonts w:ascii="Arial" w:cs="Arial" w:eastAsia="Arial" w:hAnsi="Arial"/>
                <w:sz w:val="15"/>
                <w:szCs w:val="15"/>
                <w:color w:val="auto"/>
              </w:rPr>
              <w:t>730,300</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color w:val="auto"/>
              </w:rPr>
              <w:t>LTIP</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64"/>
              <w:spacing w:after="0"/>
              <w:rPr>
                <w:sz w:val="20"/>
                <w:szCs w:val="20"/>
                <w:color w:val="auto"/>
              </w:rPr>
            </w:pPr>
            <w:r>
              <w:rPr>
                <w:rFonts w:ascii="Arial" w:cs="Arial" w:eastAsia="Arial" w:hAnsi="Arial"/>
                <w:sz w:val="15"/>
                <w:szCs w:val="15"/>
                <w:color w:val="auto"/>
              </w:rPr>
              <w:t>3,068,331</w:t>
            </w:r>
          </w:p>
        </w:tc>
        <w:tc>
          <w:tcPr>
            <w:tcW w:w="11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50"/>
        </w:trPr>
        <w:tc>
          <w:tcPr>
            <w:tcW w:w="26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25"/>
        </w:trPr>
        <w:tc>
          <w:tcPr>
            <w:tcW w:w="264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5"/>
                <w:szCs w:val="15"/>
                <w:b w:val="1"/>
                <w:bCs w:val="1"/>
                <w:color w:val="auto"/>
              </w:rPr>
              <w:t>TOTAL</w:t>
            </w:r>
          </w:p>
        </w:tc>
        <w:tc>
          <w:tcPr>
            <w:tcW w:w="126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164"/>
              <w:spacing w:after="0"/>
              <w:rPr>
                <w:sz w:val="20"/>
                <w:szCs w:val="20"/>
                <w:color w:val="auto"/>
              </w:rPr>
            </w:pPr>
            <w:r>
              <w:rPr>
                <w:rFonts w:ascii="Arial" w:cs="Arial" w:eastAsia="Arial" w:hAnsi="Arial"/>
                <w:sz w:val="15"/>
                <w:szCs w:val="15"/>
                <w:b w:val="1"/>
                <w:bCs w:val="1"/>
                <w:color w:val="auto"/>
              </w:rPr>
              <w:t>3,798,631</w:t>
            </w:r>
          </w:p>
        </w:tc>
        <w:tc>
          <w:tcPr>
            <w:tcW w:w="11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69297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4" w:lineRule="exact"/>
        <w:rPr>
          <w:sz w:val="20"/>
          <w:szCs w:val="20"/>
          <w:color w:val="auto"/>
        </w:rPr>
      </w:pPr>
    </w:p>
    <w:p>
      <w:pPr>
        <w:jc w:val="both"/>
        <w:ind w:left="600" w:hanging="433"/>
        <w:spacing w:after="0" w:line="239" w:lineRule="auto"/>
        <w:tabs>
          <w:tab w:leader="none" w:pos="60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52" w:lineRule="exact"/>
        <w:rPr>
          <w:rFonts w:ascii="Arial" w:cs="Arial" w:eastAsia="Arial" w:hAnsi="Arial"/>
          <w:sz w:val="18"/>
          <w:szCs w:val="18"/>
          <w:i w:val="1"/>
          <w:iCs w:val="1"/>
          <w:color w:val="auto"/>
        </w:rPr>
      </w:pPr>
    </w:p>
    <w:p>
      <w:pPr>
        <w:jc w:val="both"/>
        <w:ind w:left="600" w:hanging="433"/>
        <w:spacing w:after="0" w:line="246" w:lineRule="auto"/>
        <w:tabs>
          <w:tab w:leader="none" w:pos="60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45" w:lineRule="exact"/>
        <w:rPr>
          <w:rFonts w:ascii="Arial" w:cs="Arial" w:eastAsia="Arial" w:hAnsi="Arial"/>
          <w:sz w:val="18"/>
          <w:szCs w:val="18"/>
          <w:i w:val="1"/>
          <w:iCs w:val="1"/>
          <w:color w:val="auto"/>
        </w:rPr>
      </w:pPr>
    </w:p>
    <w:p>
      <w:pPr>
        <w:jc w:val="both"/>
        <w:ind w:left="600" w:hanging="433"/>
        <w:spacing w:after="0" w:line="242" w:lineRule="auto"/>
        <w:tabs>
          <w:tab w:leader="none" w:pos="60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LTIP amounts shown reflect the value of any unvested RSU awards, PSU awards, and Stock Options that may vest upon termination. The value of the awards is based on the closing stock price on December 31, 2019, of $36.60. Under the Executive Severance Program, structure equity awards are delivered in cash once vested; the value displayed reflects the value of awards that would be subject to payment based on awards outstanding as of December 31, 2019.</w:t>
      </w:r>
    </w:p>
    <w:p>
      <w:pPr>
        <w:spacing w:after="0" w:line="47" w:lineRule="exact"/>
        <w:rPr>
          <w:rFonts w:ascii="Arial" w:cs="Arial" w:eastAsia="Arial" w:hAnsi="Arial"/>
          <w:sz w:val="18"/>
          <w:szCs w:val="18"/>
          <w:i w:val="1"/>
          <w:iCs w:val="1"/>
          <w:color w:val="auto"/>
        </w:rPr>
      </w:pPr>
    </w:p>
    <w:p>
      <w:pPr>
        <w:ind w:left="600" w:hanging="433"/>
        <w:spacing w:after="0"/>
        <w:tabs>
          <w:tab w:leader="none" w:pos="60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Ms. Barra and Mr. Reuss were eligible for full career status retirement as of December 31, 2019.</w:t>
      </w:r>
    </w:p>
    <w:p>
      <w:pPr>
        <w:spacing w:after="0" w:line="73" w:lineRule="exact"/>
        <w:rPr>
          <w:rFonts w:ascii="Arial" w:cs="Arial" w:eastAsia="Arial" w:hAnsi="Arial"/>
          <w:sz w:val="18"/>
          <w:szCs w:val="18"/>
          <w:i w:val="1"/>
          <w:iCs w:val="1"/>
          <w:color w:val="auto"/>
        </w:rPr>
      </w:pPr>
    </w:p>
    <w:p>
      <w:pPr>
        <w:ind w:left="600" w:hanging="433"/>
        <w:spacing w:after="0" w:line="260" w:lineRule="auto"/>
        <w:tabs>
          <w:tab w:leader="none" w:pos="600"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Since Mr. Batey retired on March 1, 2020, the table only reflects a termination based on his retirement on that date. The value of the LTIP awards is based on the closing stock price on February 28, 2020, of $30.50.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75565</wp:posOffset>
            </wp:positionV>
            <wp:extent cx="6793865" cy="1016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72</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CEO Pay Ratio</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Our CEO, who leads our global workforce of 164,000 (96,000 are located in the United States and 68,000 are non-U.S.</w:t>
      </w:r>
    </w:p>
    <w:p>
      <w:pPr>
        <w:ind w:left="160"/>
        <w:spacing w:after="0"/>
        <w:rPr>
          <w:sz w:val="20"/>
          <w:szCs w:val="20"/>
          <w:color w:val="auto"/>
        </w:rPr>
      </w:pPr>
      <w:r>
        <w:rPr>
          <w:rFonts w:ascii="Arial" w:cs="Arial" w:eastAsia="Arial" w:hAnsi="Arial"/>
          <w:sz w:val="20"/>
          <w:szCs w:val="20"/>
          <w:color w:val="auto"/>
        </w:rPr>
        <w:t>employees) earned $21,630,867 in total compensation in 2019 as reported in the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 identify our median employee, we:</w:t>
      </w:r>
    </w:p>
    <w:p>
      <w:pPr>
        <w:spacing w:after="0" w:line="64" w:lineRule="exact"/>
        <w:rPr>
          <w:sz w:val="20"/>
          <w:szCs w:val="20"/>
          <w:color w:val="auto"/>
        </w:rPr>
      </w:pPr>
    </w:p>
    <w:p>
      <w:pPr>
        <w:jc w:val="both"/>
        <w:ind w:left="1240" w:right="20" w:hanging="538"/>
        <w:spacing w:after="0" w:line="227" w:lineRule="auto"/>
        <w:tabs>
          <w:tab w:leader="none" w:pos="12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Excluded all employees (8,045) in the following 26 countries under the SEC’s 5% de minimis exception: Australia (767), Chile (217), China (711), Colombia (1,122), Ecuador (485), Egypt (808), Germany (5), Indonesia (26), Ireland (248), Israel (313), Italy (711), Japan (36), New Zealand (33), Peru (37), Philippines (395), Romania (1), Russia (69), Singapore (8), South Africa (9), Switzerland (12), Taiwan (9), Thailand (1,798), United Arab Emirates (163), United Kingdom (43), Uruguay (11), Uzbekistan (8)</w:t>
      </w:r>
    </w:p>
    <w:p>
      <w:pPr>
        <w:spacing w:after="0" w:line="62" w:lineRule="exact"/>
        <w:rPr>
          <w:rFonts w:ascii="Arial" w:cs="Arial" w:eastAsia="Arial" w:hAnsi="Arial"/>
          <w:sz w:val="20"/>
          <w:szCs w:val="20"/>
          <w:color w:val="auto"/>
        </w:rPr>
      </w:pPr>
    </w:p>
    <w:p>
      <w:pPr>
        <w:ind w:left="1240" w:hanging="538"/>
        <w:spacing w:after="0"/>
        <w:tabs>
          <w:tab w:leader="none" w:pos="12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Calculated year-to-date payroll as of November 1, 2019, for all employees, excluding the CEO</w:t>
      </w:r>
    </w:p>
    <w:p>
      <w:pPr>
        <w:spacing w:after="0" w:line="64" w:lineRule="exact"/>
        <w:rPr>
          <w:rFonts w:ascii="Arial" w:cs="Arial" w:eastAsia="Arial" w:hAnsi="Arial"/>
          <w:sz w:val="20"/>
          <w:szCs w:val="20"/>
          <w:color w:val="auto"/>
        </w:rPr>
      </w:pPr>
    </w:p>
    <w:p>
      <w:pPr>
        <w:ind w:left="1240" w:right="20" w:hanging="538"/>
        <w:spacing w:after="0" w:line="234" w:lineRule="auto"/>
        <w:tabs>
          <w:tab w:leader="none" w:pos="12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Identified the middle 51 employees using year-to-date payroll converted to U.S. dollars as a consistently applied compensation measure</w:t>
      </w:r>
    </w:p>
    <w:p>
      <w:pPr>
        <w:spacing w:after="0" w:line="59" w:lineRule="exact"/>
        <w:rPr>
          <w:rFonts w:ascii="Arial" w:cs="Arial" w:eastAsia="Arial" w:hAnsi="Arial"/>
          <w:sz w:val="20"/>
          <w:szCs w:val="20"/>
          <w:color w:val="auto"/>
        </w:rPr>
      </w:pPr>
    </w:p>
    <w:p>
      <w:pPr>
        <w:ind w:left="1240" w:right="20" w:hanging="538"/>
        <w:spacing w:after="0" w:line="234" w:lineRule="auto"/>
        <w:tabs>
          <w:tab w:leader="none" w:pos="12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Calculated annual total compensation for the 51 middle employees based on the same SEC requirements that apply to determine total compensation in the Summary Compensation Table</w:t>
      </w:r>
    </w:p>
    <w:p>
      <w:pPr>
        <w:spacing w:after="0" w:line="59" w:lineRule="exact"/>
        <w:rPr>
          <w:rFonts w:ascii="Arial" w:cs="Arial" w:eastAsia="Arial" w:hAnsi="Arial"/>
          <w:sz w:val="20"/>
          <w:szCs w:val="20"/>
          <w:color w:val="auto"/>
        </w:rPr>
      </w:pPr>
    </w:p>
    <w:p>
      <w:pPr>
        <w:ind w:left="1240" w:hanging="538"/>
        <w:spacing w:after="0"/>
        <w:tabs>
          <w:tab w:leader="none" w:pos="12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Re-ranked all middle 51 employees and selected the median employee</w:t>
      </w:r>
    </w:p>
    <w:p>
      <w:pPr>
        <w:spacing w:after="0" w:line="131"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At GM, we believe that fair and equitable pay is an essential element of any successful organization and we invest in our employees with market competitive pay and benefits. We compensate our employees to create alignment with the short-term and long-term goals tied to the success of the organization and align with our vision of zero crashes, zero emissions, and zero congestion.</w:t>
      </w:r>
    </w:p>
    <w:p>
      <w:pPr>
        <w:spacing w:after="0" w:line="129"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Based on our calculation, we can reasonably estimate that our median employee earned $106,715 in 2019, including a change in pension value of $25,478. The ratio of our CEO’s compensation to that of our median employee is estimated to be 203:1.</w:t>
      </w:r>
    </w:p>
    <w:p>
      <w:pPr>
        <w:spacing w:after="0" w:line="114" w:lineRule="exact"/>
        <w:rPr>
          <w:sz w:val="20"/>
          <w:szCs w:val="20"/>
          <w:color w:val="auto"/>
        </w:rPr>
      </w:pPr>
    </w:p>
    <w:p>
      <w:pPr>
        <w:jc w:val="both"/>
        <w:ind w:left="160" w:right="20"/>
        <w:spacing w:after="0" w:line="227" w:lineRule="auto"/>
        <w:rPr>
          <w:sz w:val="20"/>
          <w:szCs w:val="20"/>
          <w:color w:val="auto"/>
        </w:rPr>
      </w:pPr>
      <w:r>
        <w:rPr>
          <w:rFonts w:ascii="Arial" w:cs="Arial" w:eastAsia="Arial" w:hAnsi="Arial"/>
          <w:sz w:val="20"/>
          <w:szCs w:val="20"/>
          <w:color w:val="auto"/>
        </w:rPr>
        <w:t>The SEC’s rules for identifying the median employee and calculating the pay ratio based on that employee’s annual total compensation allow companies to adopt a variety of methodologies to calculate the median employee, excluding up to 5%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793865" cy="1016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73</w:t>
      </w:r>
    </w:p>
    <w:p>
      <w:pPr>
        <w:sectPr>
          <w:pgSz w:w="11900" w:h="16838" w:orient="portrait"/>
          <w:cols w:equalWidth="0" w:num="1">
            <w:col w:w="11100"/>
          </w:cols>
          <w:pgMar w:left="320" w:top="456"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Equity Compensation Plan Information</w:t>
      </w:r>
    </w:p>
    <w:p>
      <w:pPr>
        <w:spacing w:after="0" w:line="150"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following table provides information as of December 31, 2019, about the Company’s common stock that may be issued upon the exercise of options, warrants, and rights under all the Company’s existing equity compensation plans.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2300" w:type="dxa"/>
            <w:vAlign w:val="bottom"/>
            <w:tcBorders>
              <w:top w:val="single" w:sz="8" w:color="00A1DF"/>
            </w:tcBorders>
          </w:tcPr>
          <w:p>
            <w:pPr>
              <w:spacing w:after="0"/>
              <w:rPr>
                <w:sz w:val="17"/>
                <w:szCs w:val="17"/>
                <w:color w:val="auto"/>
              </w:rPr>
            </w:pPr>
          </w:p>
        </w:tc>
        <w:tc>
          <w:tcPr>
            <w:tcW w:w="2880" w:type="dxa"/>
            <w:vAlign w:val="bottom"/>
            <w:tcBorders>
              <w:top w:val="single" w:sz="8" w:color="00A1DF"/>
            </w:tcBorders>
          </w:tcPr>
          <w:p>
            <w:pPr>
              <w:spacing w:after="0"/>
              <w:rPr>
                <w:sz w:val="17"/>
                <w:szCs w:val="17"/>
                <w:color w:val="auto"/>
              </w:rPr>
            </w:pPr>
          </w:p>
        </w:tc>
        <w:tc>
          <w:tcPr>
            <w:tcW w:w="440" w:type="dxa"/>
            <w:vAlign w:val="bottom"/>
            <w:tcBorders>
              <w:top w:val="single" w:sz="8" w:color="00A1DF"/>
            </w:tcBorders>
          </w:tcPr>
          <w:p>
            <w:pPr>
              <w:spacing w:after="0"/>
              <w:rPr>
                <w:sz w:val="17"/>
                <w:szCs w:val="17"/>
                <w:color w:val="auto"/>
              </w:rPr>
            </w:pPr>
          </w:p>
        </w:tc>
        <w:tc>
          <w:tcPr>
            <w:tcW w:w="2600" w:type="dxa"/>
            <w:vAlign w:val="bottom"/>
            <w:tcBorders>
              <w:top w:val="single" w:sz="8" w:color="00A1DF"/>
            </w:tcBorders>
          </w:tcPr>
          <w:p>
            <w:pPr>
              <w:spacing w:after="0"/>
              <w:rPr>
                <w:sz w:val="17"/>
                <w:szCs w:val="17"/>
                <w:color w:val="auto"/>
              </w:rPr>
            </w:pPr>
          </w:p>
        </w:tc>
        <w:tc>
          <w:tcPr>
            <w:tcW w:w="2700" w:type="dxa"/>
            <w:vAlign w:val="bottom"/>
            <w:tcBorders>
              <w:top w:val="single" w:sz="8" w:color="00A1DF"/>
            </w:tcBorders>
          </w:tcPr>
          <w:p>
            <w:pPr>
              <w:jc w:val="right"/>
              <w:ind w:right="128"/>
              <w:spacing w:after="0" w:line="205" w:lineRule="exact"/>
              <w:rPr>
                <w:sz w:val="20"/>
                <w:szCs w:val="20"/>
                <w:color w:val="auto"/>
              </w:rPr>
            </w:pPr>
            <w:r>
              <w:rPr>
                <w:rFonts w:ascii="Arial" w:cs="Arial" w:eastAsia="Arial" w:hAnsi="Arial"/>
                <w:sz w:val="18"/>
                <w:szCs w:val="18"/>
                <w:b w:val="1"/>
                <w:bCs w:val="1"/>
                <w:color w:val="00A1DF"/>
              </w:rPr>
              <w:t>Number of Securities</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00" w:type="dxa"/>
            <w:vAlign w:val="bottom"/>
          </w:tcPr>
          <w:p>
            <w:pPr>
              <w:jc w:val="right"/>
              <w:ind w:right="128"/>
              <w:spacing w:after="0" w:line="201" w:lineRule="exact"/>
              <w:rPr>
                <w:sz w:val="20"/>
                <w:szCs w:val="20"/>
                <w:color w:val="auto"/>
              </w:rPr>
            </w:pPr>
            <w:r>
              <w:rPr>
                <w:rFonts w:ascii="Arial" w:cs="Arial" w:eastAsia="Arial" w:hAnsi="Arial"/>
                <w:sz w:val="18"/>
                <w:szCs w:val="18"/>
                <w:b w:val="1"/>
                <w:bCs w:val="1"/>
                <w:color w:val="00A1DF"/>
              </w:rPr>
              <w:t>Remaining Available for</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880" w:type="dxa"/>
            <w:vAlign w:val="bottom"/>
          </w:tcPr>
          <w:p>
            <w:pPr>
              <w:jc w:val="right"/>
              <w:ind w:right="408"/>
              <w:spacing w:after="0" w:line="201" w:lineRule="exact"/>
              <w:rPr>
                <w:sz w:val="20"/>
                <w:szCs w:val="20"/>
                <w:color w:val="auto"/>
              </w:rPr>
            </w:pPr>
            <w:r>
              <w:rPr>
                <w:rFonts w:ascii="Arial" w:cs="Arial" w:eastAsia="Arial" w:hAnsi="Arial"/>
                <w:sz w:val="18"/>
                <w:szCs w:val="18"/>
                <w:b w:val="1"/>
                <w:bCs w:val="1"/>
                <w:color w:val="00A1DF"/>
              </w:rPr>
              <w:t>Number of Securities to</w:t>
            </w:r>
          </w:p>
        </w:tc>
        <w:tc>
          <w:tcPr>
            <w:tcW w:w="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700" w:type="dxa"/>
            <w:vAlign w:val="bottom"/>
          </w:tcPr>
          <w:p>
            <w:pPr>
              <w:jc w:val="right"/>
              <w:ind w:right="128"/>
              <w:spacing w:after="0" w:line="201" w:lineRule="exact"/>
              <w:rPr>
                <w:sz w:val="20"/>
                <w:szCs w:val="20"/>
                <w:color w:val="auto"/>
              </w:rPr>
            </w:pPr>
            <w:r>
              <w:rPr>
                <w:rFonts w:ascii="Arial" w:cs="Arial" w:eastAsia="Arial" w:hAnsi="Arial"/>
                <w:sz w:val="18"/>
                <w:szCs w:val="18"/>
                <w:b w:val="1"/>
                <w:bCs w:val="1"/>
                <w:color w:val="00A1DF"/>
              </w:rPr>
              <w:t>Future Issuance Under</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880" w:type="dxa"/>
            <w:vAlign w:val="bottom"/>
          </w:tcPr>
          <w:p>
            <w:pPr>
              <w:jc w:val="right"/>
              <w:ind w:right="408"/>
              <w:spacing w:after="0" w:line="201" w:lineRule="exact"/>
              <w:rPr>
                <w:sz w:val="20"/>
                <w:szCs w:val="20"/>
                <w:color w:val="auto"/>
              </w:rPr>
            </w:pPr>
            <w:r>
              <w:rPr>
                <w:rFonts w:ascii="Arial" w:cs="Arial" w:eastAsia="Arial" w:hAnsi="Arial"/>
                <w:sz w:val="18"/>
                <w:szCs w:val="18"/>
                <w:b w:val="1"/>
                <w:bCs w:val="1"/>
                <w:color w:val="00A1DF"/>
              </w:rPr>
              <w:t>be Issued Upon Exercise</w:t>
            </w:r>
          </w:p>
        </w:tc>
        <w:tc>
          <w:tcPr>
            <w:tcW w:w="440" w:type="dxa"/>
            <w:vAlign w:val="bottom"/>
          </w:tcPr>
          <w:p>
            <w:pPr>
              <w:spacing w:after="0"/>
              <w:rPr>
                <w:sz w:val="17"/>
                <w:szCs w:val="17"/>
                <w:color w:val="auto"/>
              </w:rPr>
            </w:pPr>
          </w:p>
        </w:tc>
        <w:tc>
          <w:tcPr>
            <w:tcW w:w="2600" w:type="dxa"/>
            <w:vAlign w:val="bottom"/>
          </w:tcPr>
          <w:p>
            <w:pPr>
              <w:jc w:val="right"/>
              <w:ind w:right="126"/>
              <w:spacing w:after="0" w:line="201" w:lineRule="exact"/>
              <w:rPr>
                <w:sz w:val="20"/>
                <w:szCs w:val="20"/>
                <w:color w:val="auto"/>
              </w:rPr>
            </w:pPr>
            <w:r>
              <w:rPr>
                <w:rFonts w:ascii="Arial" w:cs="Arial" w:eastAsia="Arial" w:hAnsi="Arial"/>
                <w:sz w:val="18"/>
                <w:szCs w:val="18"/>
                <w:b w:val="1"/>
                <w:bCs w:val="1"/>
                <w:color w:val="00A1DF"/>
                <w:w w:val="99"/>
              </w:rPr>
              <w:t>Weighted-Average Exercise</w:t>
            </w:r>
          </w:p>
        </w:tc>
        <w:tc>
          <w:tcPr>
            <w:tcW w:w="2700" w:type="dxa"/>
            <w:vAlign w:val="bottom"/>
          </w:tcPr>
          <w:p>
            <w:pPr>
              <w:jc w:val="right"/>
              <w:ind w:right="128"/>
              <w:spacing w:after="0" w:line="201" w:lineRule="exact"/>
              <w:rPr>
                <w:sz w:val="20"/>
                <w:szCs w:val="20"/>
                <w:color w:val="auto"/>
              </w:rPr>
            </w:pPr>
            <w:r>
              <w:rPr>
                <w:rFonts w:ascii="Arial" w:cs="Arial" w:eastAsia="Arial" w:hAnsi="Arial"/>
                <w:sz w:val="18"/>
                <w:szCs w:val="18"/>
                <w:b w:val="1"/>
                <w:bCs w:val="1"/>
                <w:color w:val="00A1DF"/>
              </w:rPr>
              <w:t>Equity Compensation Plan</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880" w:type="dxa"/>
            <w:vAlign w:val="bottom"/>
          </w:tcPr>
          <w:p>
            <w:pPr>
              <w:jc w:val="right"/>
              <w:ind w:right="408"/>
              <w:spacing w:after="0" w:line="201" w:lineRule="exact"/>
              <w:rPr>
                <w:sz w:val="20"/>
                <w:szCs w:val="20"/>
                <w:color w:val="auto"/>
              </w:rPr>
            </w:pPr>
            <w:r>
              <w:rPr>
                <w:rFonts w:ascii="Arial" w:cs="Arial" w:eastAsia="Arial" w:hAnsi="Arial"/>
                <w:sz w:val="18"/>
                <w:szCs w:val="18"/>
                <w:b w:val="1"/>
                <w:bCs w:val="1"/>
                <w:color w:val="00A1DF"/>
              </w:rPr>
              <w:t>of Outstanding Options,</w:t>
            </w:r>
          </w:p>
        </w:tc>
        <w:tc>
          <w:tcPr>
            <w:tcW w:w="3040" w:type="dxa"/>
            <w:vAlign w:val="bottom"/>
            <w:gridSpan w:val="2"/>
          </w:tcPr>
          <w:p>
            <w:pPr>
              <w:jc w:val="right"/>
              <w:ind w:right="126"/>
              <w:spacing w:after="0" w:line="201" w:lineRule="exact"/>
              <w:rPr>
                <w:sz w:val="20"/>
                <w:szCs w:val="20"/>
                <w:color w:val="auto"/>
              </w:rPr>
            </w:pPr>
            <w:r>
              <w:rPr>
                <w:rFonts w:ascii="Arial" w:cs="Arial" w:eastAsia="Arial" w:hAnsi="Arial"/>
                <w:sz w:val="18"/>
                <w:szCs w:val="18"/>
                <w:b w:val="1"/>
                <w:bCs w:val="1"/>
                <w:color w:val="00A1DF"/>
              </w:rPr>
              <w:t>Price of Outstanding Options,</w:t>
            </w:r>
          </w:p>
        </w:tc>
        <w:tc>
          <w:tcPr>
            <w:tcW w:w="2700" w:type="dxa"/>
            <w:vAlign w:val="bottom"/>
          </w:tcPr>
          <w:p>
            <w:pPr>
              <w:jc w:val="right"/>
              <w:ind w:right="128"/>
              <w:spacing w:after="0" w:line="201" w:lineRule="exact"/>
              <w:rPr>
                <w:sz w:val="20"/>
                <w:szCs w:val="20"/>
                <w:color w:val="auto"/>
              </w:rPr>
            </w:pPr>
            <w:r>
              <w:rPr>
                <w:rFonts w:ascii="Arial" w:cs="Arial" w:eastAsia="Arial" w:hAnsi="Arial"/>
                <w:sz w:val="18"/>
                <w:szCs w:val="18"/>
                <w:b w:val="1"/>
                <w:bCs w:val="1"/>
                <w:color w:val="00A1DF"/>
              </w:rPr>
              <w:t>(excluding securities</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880" w:type="dxa"/>
            <w:vAlign w:val="bottom"/>
          </w:tcPr>
          <w:p>
            <w:pPr>
              <w:jc w:val="right"/>
              <w:ind w:right="408"/>
              <w:spacing w:after="0" w:line="201" w:lineRule="exact"/>
              <w:rPr>
                <w:sz w:val="20"/>
                <w:szCs w:val="20"/>
                <w:color w:val="auto"/>
              </w:rPr>
            </w:pPr>
            <w:r>
              <w:rPr>
                <w:rFonts w:ascii="Arial" w:cs="Arial" w:eastAsia="Arial" w:hAnsi="Arial"/>
                <w:sz w:val="18"/>
                <w:szCs w:val="18"/>
                <w:b w:val="1"/>
                <w:bCs w:val="1"/>
                <w:color w:val="00A1DF"/>
              </w:rPr>
              <w:t>Warrants, and Rights</w:t>
            </w:r>
          </w:p>
        </w:tc>
        <w:tc>
          <w:tcPr>
            <w:tcW w:w="440" w:type="dxa"/>
            <w:vAlign w:val="bottom"/>
          </w:tcPr>
          <w:p>
            <w:pPr>
              <w:spacing w:after="0"/>
              <w:rPr>
                <w:sz w:val="17"/>
                <w:szCs w:val="17"/>
                <w:color w:val="auto"/>
              </w:rPr>
            </w:pPr>
          </w:p>
        </w:tc>
        <w:tc>
          <w:tcPr>
            <w:tcW w:w="2600" w:type="dxa"/>
            <w:vAlign w:val="bottom"/>
          </w:tcPr>
          <w:p>
            <w:pPr>
              <w:jc w:val="right"/>
              <w:ind w:right="126"/>
              <w:spacing w:after="0" w:line="201" w:lineRule="exact"/>
              <w:rPr>
                <w:sz w:val="20"/>
                <w:szCs w:val="20"/>
                <w:color w:val="auto"/>
              </w:rPr>
            </w:pPr>
            <w:r>
              <w:rPr>
                <w:rFonts w:ascii="Arial" w:cs="Arial" w:eastAsia="Arial" w:hAnsi="Arial"/>
                <w:sz w:val="18"/>
                <w:szCs w:val="18"/>
                <w:b w:val="1"/>
                <w:bCs w:val="1"/>
                <w:color w:val="00A1DF"/>
              </w:rPr>
              <w:t>Warrants, and Rights</w:t>
            </w:r>
          </w:p>
        </w:tc>
        <w:tc>
          <w:tcPr>
            <w:tcW w:w="2700" w:type="dxa"/>
            <w:vAlign w:val="bottom"/>
          </w:tcPr>
          <w:p>
            <w:pPr>
              <w:jc w:val="right"/>
              <w:ind w:right="128"/>
              <w:spacing w:after="0" w:line="201" w:lineRule="exact"/>
              <w:rPr>
                <w:sz w:val="20"/>
                <w:szCs w:val="20"/>
                <w:color w:val="auto"/>
              </w:rPr>
            </w:pPr>
            <w:r>
              <w:rPr>
                <w:rFonts w:ascii="Arial" w:cs="Arial" w:eastAsia="Arial" w:hAnsi="Arial"/>
                <w:sz w:val="18"/>
                <w:szCs w:val="18"/>
                <w:b w:val="1"/>
                <w:bCs w:val="1"/>
                <w:color w:val="00A1DF"/>
              </w:rPr>
              <w:t>reflected in column (A))</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0"/>
                <w:szCs w:val="20"/>
                <w:color w:val="auto"/>
              </w:rPr>
            </w:pPr>
            <w:r>
              <w:rPr>
                <w:rFonts w:ascii="Arial" w:cs="Arial" w:eastAsia="Arial" w:hAnsi="Arial"/>
                <w:sz w:val="18"/>
                <w:szCs w:val="18"/>
                <w:b w:val="1"/>
                <w:bCs w:val="1"/>
                <w:color w:val="00A1DF"/>
              </w:rPr>
              <w:t>Plan Category</w:t>
            </w:r>
          </w:p>
        </w:tc>
        <w:tc>
          <w:tcPr>
            <w:tcW w:w="2880" w:type="dxa"/>
            <w:vAlign w:val="bottom"/>
          </w:tcPr>
          <w:p>
            <w:pPr>
              <w:jc w:val="right"/>
              <w:ind w:right="408"/>
              <w:spacing w:after="0"/>
              <w:rPr>
                <w:sz w:val="20"/>
                <w:szCs w:val="20"/>
                <w:color w:val="auto"/>
              </w:rPr>
            </w:pPr>
            <w:r>
              <w:rPr>
                <w:rFonts w:ascii="Arial" w:cs="Arial" w:eastAsia="Arial" w:hAnsi="Arial"/>
                <w:sz w:val="18"/>
                <w:szCs w:val="18"/>
                <w:b w:val="1"/>
                <w:bCs w:val="1"/>
                <w:color w:val="00A1DF"/>
              </w:rPr>
              <w:t>(A)</w:t>
            </w:r>
          </w:p>
        </w:tc>
        <w:tc>
          <w:tcPr>
            <w:tcW w:w="440" w:type="dxa"/>
            <w:vAlign w:val="bottom"/>
          </w:tcPr>
          <w:p>
            <w:pPr>
              <w:spacing w:after="0"/>
              <w:rPr>
                <w:sz w:val="21"/>
                <w:szCs w:val="21"/>
                <w:color w:val="auto"/>
              </w:rPr>
            </w:pPr>
          </w:p>
        </w:tc>
        <w:tc>
          <w:tcPr>
            <w:tcW w:w="2600" w:type="dxa"/>
            <w:vAlign w:val="bottom"/>
          </w:tcPr>
          <w:p>
            <w:pPr>
              <w:jc w:val="right"/>
              <w:ind w:right="126"/>
              <w:spacing w:after="0"/>
              <w:rPr>
                <w:sz w:val="20"/>
                <w:szCs w:val="20"/>
                <w:color w:val="auto"/>
              </w:rPr>
            </w:pPr>
            <w:r>
              <w:rPr>
                <w:rFonts w:ascii="Arial" w:cs="Arial" w:eastAsia="Arial" w:hAnsi="Arial"/>
                <w:sz w:val="18"/>
                <w:szCs w:val="18"/>
                <w:b w:val="1"/>
                <w:bCs w:val="1"/>
                <w:color w:val="00A1DF"/>
              </w:rPr>
              <w:t>(B)</w:t>
            </w:r>
          </w:p>
        </w:tc>
        <w:tc>
          <w:tcPr>
            <w:tcW w:w="2700" w:type="dxa"/>
            <w:vAlign w:val="bottom"/>
          </w:tcPr>
          <w:p>
            <w:pPr>
              <w:jc w:val="right"/>
              <w:ind w:right="128"/>
              <w:spacing w:after="0"/>
              <w:rPr>
                <w:sz w:val="20"/>
                <w:szCs w:val="20"/>
                <w:color w:val="auto"/>
              </w:rPr>
            </w:pPr>
            <w:r>
              <w:rPr>
                <w:rFonts w:ascii="Arial" w:cs="Arial" w:eastAsia="Arial" w:hAnsi="Arial"/>
                <w:sz w:val="18"/>
                <w:szCs w:val="18"/>
                <w:b w:val="1"/>
                <w:bCs w:val="1"/>
                <w:color w:val="00A1DF"/>
              </w:rPr>
              <w:t>(C)</w:t>
            </w:r>
          </w:p>
        </w:tc>
        <w:tc>
          <w:tcPr>
            <w:tcW w:w="0" w:type="dxa"/>
            <w:vAlign w:val="bottom"/>
          </w:tcPr>
          <w:p>
            <w:pPr>
              <w:spacing w:after="0"/>
              <w:rPr>
                <w:sz w:val="1"/>
                <w:szCs w:val="1"/>
                <w:color w:val="auto"/>
              </w:rPr>
            </w:pPr>
          </w:p>
        </w:tc>
      </w:tr>
      <w:tr>
        <w:trPr>
          <w:trHeight w:val="68"/>
        </w:trPr>
        <w:tc>
          <w:tcPr>
            <w:tcW w:w="2300" w:type="dxa"/>
            <w:vAlign w:val="bottom"/>
            <w:tcBorders>
              <w:bottom w:val="single" w:sz="8" w:color="00A1DF"/>
            </w:tcBorders>
          </w:tcPr>
          <w:p>
            <w:pPr>
              <w:spacing w:after="0"/>
              <w:rPr>
                <w:sz w:val="5"/>
                <w:szCs w:val="5"/>
                <w:color w:val="auto"/>
              </w:rPr>
            </w:pPr>
          </w:p>
        </w:tc>
        <w:tc>
          <w:tcPr>
            <w:tcW w:w="2880" w:type="dxa"/>
            <w:vAlign w:val="bottom"/>
            <w:tcBorders>
              <w:bottom w:val="single" w:sz="8" w:color="00A1DF"/>
            </w:tcBorders>
          </w:tcPr>
          <w:p>
            <w:pPr>
              <w:spacing w:after="0"/>
              <w:rPr>
                <w:sz w:val="5"/>
                <w:szCs w:val="5"/>
                <w:color w:val="auto"/>
              </w:rPr>
            </w:pPr>
          </w:p>
        </w:tc>
        <w:tc>
          <w:tcPr>
            <w:tcW w:w="440" w:type="dxa"/>
            <w:vAlign w:val="bottom"/>
            <w:tcBorders>
              <w:bottom w:val="single" w:sz="8" w:color="00A1DF"/>
            </w:tcBorders>
          </w:tcPr>
          <w:p>
            <w:pPr>
              <w:spacing w:after="0"/>
              <w:rPr>
                <w:sz w:val="5"/>
                <w:szCs w:val="5"/>
                <w:color w:val="auto"/>
              </w:rPr>
            </w:pPr>
          </w:p>
        </w:tc>
        <w:tc>
          <w:tcPr>
            <w:tcW w:w="2600" w:type="dxa"/>
            <w:vAlign w:val="bottom"/>
            <w:tcBorders>
              <w:bottom w:val="single" w:sz="8" w:color="00A1DF"/>
            </w:tcBorders>
          </w:tcPr>
          <w:p>
            <w:pPr>
              <w:spacing w:after="0"/>
              <w:rPr>
                <w:sz w:val="5"/>
                <w:szCs w:val="5"/>
                <w:color w:val="auto"/>
              </w:rPr>
            </w:pPr>
          </w:p>
        </w:tc>
        <w:tc>
          <w:tcPr>
            <w:tcW w:w="270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300" w:type="dxa"/>
            <w:vAlign w:val="bottom"/>
          </w:tcPr>
          <w:p>
            <w:pPr>
              <w:ind w:left="100"/>
              <w:spacing w:after="0"/>
              <w:rPr>
                <w:sz w:val="20"/>
                <w:szCs w:val="20"/>
                <w:color w:val="auto"/>
              </w:rPr>
            </w:pPr>
            <w:r>
              <w:rPr>
                <w:rFonts w:ascii="Arial" w:cs="Arial" w:eastAsia="Arial" w:hAnsi="Arial"/>
                <w:sz w:val="20"/>
                <w:szCs w:val="20"/>
                <w:color w:val="auto"/>
              </w:rPr>
              <w:t>Equity compensation</w:t>
            </w:r>
          </w:p>
        </w:tc>
        <w:tc>
          <w:tcPr>
            <w:tcW w:w="2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300" w:type="dxa"/>
            <w:vAlign w:val="bottom"/>
          </w:tcPr>
          <w:p>
            <w:pPr>
              <w:ind w:left="100"/>
              <w:spacing w:after="0" w:line="214" w:lineRule="exact"/>
              <w:rPr>
                <w:sz w:val="20"/>
                <w:szCs w:val="20"/>
                <w:color w:val="auto"/>
              </w:rPr>
            </w:pPr>
            <w:r>
              <w:rPr>
                <w:rFonts w:ascii="Arial" w:cs="Arial" w:eastAsia="Arial" w:hAnsi="Arial"/>
                <w:sz w:val="20"/>
                <w:szCs w:val="20"/>
                <w:color w:val="auto"/>
              </w:rPr>
              <w:t>plans approved by</w:t>
            </w:r>
          </w:p>
        </w:tc>
        <w:tc>
          <w:tcPr>
            <w:tcW w:w="2880" w:type="dxa"/>
            <w:vAlign w:val="bottom"/>
            <w:vMerge w:val="restart"/>
          </w:tcPr>
          <w:p>
            <w:pPr>
              <w:jc w:val="right"/>
              <w:ind w:right="188"/>
              <w:spacing w:after="0"/>
              <w:rPr>
                <w:sz w:val="20"/>
                <w:szCs w:val="20"/>
                <w:color w:val="auto"/>
              </w:rPr>
            </w:pPr>
            <w:r>
              <w:rPr>
                <w:rFonts w:ascii="Arial" w:cs="Arial" w:eastAsia="Arial" w:hAnsi="Arial"/>
                <w:sz w:val="20"/>
                <w:szCs w:val="20"/>
                <w:color w:val="auto"/>
              </w:rPr>
              <w:t>39,005,590</w:t>
            </w: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00" w:type="dxa"/>
            <w:vAlign w:val="bottom"/>
          </w:tcPr>
          <w:p>
            <w:pPr>
              <w:ind w:left="100"/>
              <w:spacing w:after="0"/>
              <w:rPr>
                <w:sz w:val="20"/>
                <w:szCs w:val="20"/>
                <w:color w:val="auto"/>
              </w:rPr>
            </w:pPr>
            <w:r>
              <w:rPr>
                <w:rFonts w:ascii="Arial" w:cs="Arial" w:eastAsia="Arial" w:hAnsi="Arial"/>
                <w:sz w:val="20"/>
                <w:szCs w:val="20"/>
                <w:color w:val="auto"/>
              </w:rPr>
              <w:t>security holders</w:t>
            </w:r>
          </w:p>
        </w:tc>
        <w:tc>
          <w:tcPr>
            <w:tcW w:w="2880" w:type="dxa"/>
            <w:vAlign w:val="bottom"/>
            <w:vMerge w:val="continue"/>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2600" w:type="dxa"/>
            <w:vAlign w:val="bottom"/>
          </w:tcPr>
          <w:p>
            <w:pPr>
              <w:jc w:val="right"/>
              <w:ind w:right="126"/>
              <w:spacing w:after="0"/>
              <w:rPr>
                <w:sz w:val="20"/>
                <w:szCs w:val="20"/>
                <w:color w:val="auto"/>
              </w:rPr>
            </w:pPr>
            <w:r>
              <w:rPr>
                <w:rFonts w:ascii="Arial" w:cs="Arial" w:eastAsia="Arial" w:hAnsi="Arial"/>
                <w:sz w:val="20"/>
                <w:szCs w:val="20"/>
                <w:color w:val="auto"/>
              </w:rPr>
              <w:t>34.31</w:t>
            </w:r>
          </w:p>
        </w:tc>
        <w:tc>
          <w:tcPr>
            <w:tcW w:w="2700" w:type="dxa"/>
            <w:vAlign w:val="bottom"/>
          </w:tcPr>
          <w:p>
            <w:pPr>
              <w:jc w:val="right"/>
              <w:ind w:right="128"/>
              <w:spacing w:after="0"/>
              <w:rPr>
                <w:sz w:val="20"/>
                <w:szCs w:val="20"/>
                <w:color w:val="auto"/>
              </w:rPr>
            </w:pPr>
            <w:r>
              <w:rPr>
                <w:rFonts w:ascii="Arial" w:cs="Arial" w:eastAsia="Arial" w:hAnsi="Arial"/>
                <w:sz w:val="20"/>
                <w:szCs w:val="20"/>
                <w:color w:val="auto"/>
              </w:rPr>
              <w:t>25,479,864</w:t>
            </w:r>
          </w:p>
        </w:tc>
        <w:tc>
          <w:tcPr>
            <w:tcW w:w="0" w:type="dxa"/>
            <w:vAlign w:val="bottom"/>
          </w:tcPr>
          <w:p>
            <w:pPr>
              <w:spacing w:after="0"/>
              <w:rPr>
                <w:sz w:val="1"/>
                <w:szCs w:val="1"/>
                <w:color w:val="auto"/>
              </w:rPr>
            </w:pPr>
          </w:p>
        </w:tc>
      </w:tr>
      <w:tr>
        <w:trPr>
          <w:trHeight w:val="62"/>
        </w:trPr>
        <w:tc>
          <w:tcPr>
            <w:tcW w:w="23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300" w:type="dxa"/>
            <w:vAlign w:val="bottom"/>
          </w:tcPr>
          <w:p>
            <w:pPr>
              <w:ind w:left="100"/>
              <w:spacing w:after="0"/>
              <w:rPr>
                <w:sz w:val="20"/>
                <w:szCs w:val="20"/>
                <w:color w:val="auto"/>
              </w:rPr>
            </w:pPr>
            <w:r>
              <w:rPr>
                <w:rFonts w:ascii="Arial" w:cs="Arial" w:eastAsia="Arial" w:hAnsi="Arial"/>
                <w:sz w:val="20"/>
                <w:szCs w:val="20"/>
                <w:color w:val="auto"/>
              </w:rPr>
              <w:t>Equity compensation</w:t>
            </w:r>
          </w:p>
        </w:tc>
        <w:tc>
          <w:tcPr>
            <w:tcW w:w="2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300" w:type="dxa"/>
            <w:vAlign w:val="bottom"/>
          </w:tcPr>
          <w:p>
            <w:pPr>
              <w:ind w:left="100"/>
              <w:spacing w:after="0" w:line="214" w:lineRule="exact"/>
              <w:rPr>
                <w:sz w:val="20"/>
                <w:szCs w:val="20"/>
                <w:color w:val="auto"/>
              </w:rPr>
            </w:pPr>
            <w:r>
              <w:rPr>
                <w:rFonts w:ascii="Arial" w:cs="Arial" w:eastAsia="Arial" w:hAnsi="Arial"/>
                <w:sz w:val="20"/>
                <w:szCs w:val="20"/>
                <w:color w:val="auto"/>
              </w:rPr>
              <w:t>plans not approved by</w:t>
            </w: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00" w:type="dxa"/>
            <w:vAlign w:val="bottom"/>
          </w:tcPr>
          <w:p>
            <w:pPr>
              <w:ind w:left="100"/>
              <w:spacing w:after="0"/>
              <w:rPr>
                <w:sz w:val="20"/>
                <w:szCs w:val="20"/>
                <w:color w:val="auto"/>
              </w:rPr>
            </w:pPr>
            <w:r>
              <w:rPr>
                <w:rFonts w:ascii="Arial" w:cs="Arial" w:eastAsia="Arial" w:hAnsi="Arial"/>
                <w:sz w:val="20"/>
                <w:szCs w:val="20"/>
                <w:color w:val="auto"/>
              </w:rPr>
              <w:t>security holders</w:t>
            </w:r>
            <w:r>
              <w:rPr>
                <w:rFonts w:ascii="Arial" w:cs="Arial" w:eastAsia="Arial" w:hAnsi="Arial"/>
                <w:sz w:val="16"/>
                <w:szCs w:val="16"/>
                <w:color w:val="auto"/>
              </w:rPr>
              <w:t>(2)</w:t>
            </w:r>
          </w:p>
        </w:tc>
        <w:tc>
          <w:tcPr>
            <w:tcW w:w="2880" w:type="dxa"/>
            <w:vAlign w:val="bottom"/>
          </w:tcPr>
          <w:p>
            <w:pPr>
              <w:jc w:val="right"/>
              <w:ind w:right="188"/>
              <w:spacing w:after="0"/>
              <w:rPr>
                <w:sz w:val="20"/>
                <w:szCs w:val="20"/>
                <w:color w:val="auto"/>
              </w:rPr>
            </w:pPr>
            <w:r>
              <w:rPr>
                <w:rFonts w:ascii="Arial" w:cs="Arial" w:eastAsia="Arial" w:hAnsi="Arial"/>
                <w:sz w:val="20"/>
                <w:szCs w:val="20"/>
                <w:color w:val="auto"/>
              </w:rPr>
              <w:t>844,824</w:t>
            </w:r>
            <w:r>
              <w:rPr>
                <w:rFonts w:ascii="Arial" w:cs="Arial" w:eastAsia="Arial" w:hAnsi="Arial"/>
                <w:sz w:val="16"/>
                <w:szCs w:val="16"/>
                <w:color w:val="auto"/>
              </w:rPr>
              <w:t>(3)</w:t>
            </w:r>
          </w:p>
        </w:tc>
        <w:tc>
          <w:tcPr>
            <w:tcW w:w="440" w:type="dxa"/>
            <w:vAlign w:val="bottom"/>
          </w:tcPr>
          <w:p>
            <w:pPr>
              <w:spacing w:after="0"/>
              <w:rPr>
                <w:sz w:val="20"/>
                <w:szCs w:val="20"/>
                <w:color w:val="auto"/>
              </w:rPr>
            </w:pPr>
          </w:p>
        </w:tc>
        <w:tc>
          <w:tcPr>
            <w:tcW w:w="2600" w:type="dxa"/>
            <w:vAlign w:val="bottom"/>
          </w:tcPr>
          <w:p>
            <w:pPr>
              <w:jc w:val="right"/>
              <w:ind w:right="126"/>
              <w:spacing w:after="0"/>
              <w:rPr>
                <w:sz w:val="20"/>
                <w:szCs w:val="20"/>
                <w:color w:val="auto"/>
              </w:rPr>
            </w:pPr>
            <w:r>
              <w:rPr>
                <w:rFonts w:ascii="Arial" w:cs="Arial" w:eastAsia="Arial" w:hAnsi="Arial"/>
                <w:sz w:val="20"/>
                <w:szCs w:val="20"/>
                <w:color w:val="auto"/>
              </w:rPr>
              <w:t>—</w:t>
            </w:r>
          </w:p>
        </w:tc>
        <w:tc>
          <w:tcPr>
            <w:tcW w:w="2700" w:type="dxa"/>
            <w:vAlign w:val="bottom"/>
          </w:tcPr>
          <w:p>
            <w:pPr>
              <w:jc w:val="right"/>
              <w:ind w:right="128"/>
              <w:spacing w:after="0"/>
              <w:rPr>
                <w:sz w:val="20"/>
                <w:szCs w:val="20"/>
                <w:color w:val="auto"/>
              </w:rPr>
            </w:pPr>
            <w:r>
              <w:rPr>
                <w:rFonts w:ascii="Arial" w:cs="Arial" w:eastAsia="Arial" w:hAnsi="Arial"/>
                <w:sz w:val="20"/>
                <w:szCs w:val="20"/>
                <w:color w:val="auto"/>
              </w:rPr>
              <w:t>15,187</w:t>
            </w:r>
          </w:p>
        </w:tc>
        <w:tc>
          <w:tcPr>
            <w:tcW w:w="0" w:type="dxa"/>
            <w:vAlign w:val="bottom"/>
          </w:tcPr>
          <w:p>
            <w:pPr>
              <w:spacing w:after="0"/>
              <w:rPr>
                <w:sz w:val="1"/>
                <w:szCs w:val="1"/>
                <w:color w:val="auto"/>
              </w:rPr>
            </w:pPr>
          </w:p>
        </w:tc>
      </w:tr>
      <w:tr>
        <w:trPr>
          <w:trHeight w:val="62"/>
        </w:trPr>
        <w:tc>
          <w:tcPr>
            <w:tcW w:w="230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2300" w:type="dxa"/>
            <w:vAlign w:val="bottom"/>
          </w:tcPr>
          <w:p>
            <w:pPr>
              <w:ind w:left="100"/>
              <w:spacing w:after="0"/>
              <w:rPr>
                <w:sz w:val="20"/>
                <w:szCs w:val="20"/>
                <w:color w:val="auto"/>
              </w:rPr>
            </w:pPr>
            <w:r>
              <w:rPr>
                <w:rFonts w:ascii="Arial" w:cs="Arial" w:eastAsia="Arial" w:hAnsi="Arial"/>
                <w:sz w:val="20"/>
                <w:szCs w:val="20"/>
                <w:color w:val="auto"/>
              </w:rPr>
              <w:t>Total</w:t>
            </w:r>
          </w:p>
        </w:tc>
        <w:tc>
          <w:tcPr>
            <w:tcW w:w="2880" w:type="dxa"/>
            <w:vAlign w:val="bottom"/>
          </w:tcPr>
          <w:p>
            <w:pPr>
              <w:jc w:val="right"/>
              <w:ind w:right="188"/>
              <w:spacing w:after="0"/>
              <w:rPr>
                <w:sz w:val="20"/>
                <w:szCs w:val="20"/>
                <w:color w:val="auto"/>
              </w:rPr>
            </w:pPr>
            <w:r>
              <w:rPr>
                <w:rFonts w:ascii="Arial" w:cs="Arial" w:eastAsia="Arial" w:hAnsi="Arial"/>
                <w:sz w:val="20"/>
                <w:szCs w:val="20"/>
                <w:color w:val="auto"/>
              </w:rPr>
              <w:t>39,850,414</w:t>
            </w:r>
            <w:r>
              <w:rPr>
                <w:rFonts w:ascii="Arial" w:cs="Arial" w:eastAsia="Arial" w:hAnsi="Arial"/>
                <w:sz w:val="16"/>
                <w:szCs w:val="16"/>
                <w:color w:val="auto"/>
              </w:rPr>
              <w:t>(4)</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2600" w:type="dxa"/>
            <w:vAlign w:val="bottom"/>
          </w:tcPr>
          <w:p>
            <w:pPr>
              <w:jc w:val="right"/>
              <w:ind w:right="126"/>
              <w:spacing w:after="0"/>
              <w:rPr>
                <w:sz w:val="20"/>
                <w:szCs w:val="20"/>
                <w:color w:val="auto"/>
              </w:rPr>
            </w:pPr>
            <w:r>
              <w:rPr>
                <w:rFonts w:ascii="Arial" w:cs="Arial" w:eastAsia="Arial" w:hAnsi="Arial"/>
                <w:sz w:val="20"/>
                <w:szCs w:val="20"/>
                <w:color w:val="auto"/>
              </w:rPr>
              <w:t>34.31</w:t>
            </w:r>
          </w:p>
        </w:tc>
        <w:tc>
          <w:tcPr>
            <w:tcW w:w="2700" w:type="dxa"/>
            <w:vAlign w:val="bottom"/>
          </w:tcPr>
          <w:p>
            <w:pPr>
              <w:jc w:val="right"/>
              <w:ind w:right="128"/>
              <w:spacing w:after="0"/>
              <w:rPr>
                <w:sz w:val="20"/>
                <w:szCs w:val="20"/>
                <w:color w:val="auto"/>
              </w:rPr>
            </w:pPr>
            <w:r>
              <w:rPr>
                <w:rFonts w:ascii="Arial" w:cs="Arial" w:eastAsia="Arial" w:hAnsi="Arial"/>
                <w:sz w:val="20"/>
                <w:szCs w:val="20"/>
                <w:color w:val="auto"/>
              </w:rPr>
              <w:t>25,495,051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includes the following:</w:t>
      </w:r>
    </w:p>
    <w:p>
      <w:pPr>
        <w:spacing w:after="0" w:line="73" w:lineRule="exact"/>
        <w:rPr>
          <w:rFonts w:ascii="Arial" w:cs="Arial" w:eastAsia="Arial" w:hAnsi="Arial"/>
          <w:sz w:val="18"/>
          <w:szCs w:val="18"/>
          <w:i w:val="1"/>
          <w:iCs w:val="1"/>
          <w:color w:val="auto"/>
        </w:rPr>
      </w:pPr>
    </w:p>
    <w:p>
      <w:pPr>
        <w:ind w:left="1140" w:hanging="545"/>
        <w:spacing w:after="0"/>
        <w:tabs>
          <w:tab w:leader="none" w:pos="1140" w:val="left"/>
        </w:tabs>
        <w:numPr>
          <w:ilvl w:val="1"/>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25,713,261 shares represent options.</w:t>
      </w:r>
    </w:p>
    <w:p>
      <w:pPr>
        <w:spacing w:after="0" w:line="11" w:lineRule="exact"/>
        <w:rPr>
          <w:rFonts w:ascii="Arial" w:cs="Arial" w:eastAsia="Arial" w:hAnsi="Arial"/>
          <w:sz w:val="18"/>
          <w:szCs w:val="18"/>
          <w:i w:val="1"/>
          <w:iCs w:val="1"/>
          <w:color w:val="auto"/>
        </w:rPr>
      </w:pPr>
    </w:p>
    <w:p>
      <w:pPr>
        <w:ind w:left="1140" w:right="620" w:hanging="545"/>
        <w:spacing w:after="0" w:line="232" w:lineRule="auto"/>
        <w:tabs>
          <w:tab w:leader="none" w:pos="1140" w:val="left"/>
        </w:tabs>
        <w:numPr>
          <w:ilvl w:val="1"/>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11,754,178 shares represent PSU awards assuming performance is achieved at target. For performance above target, awards may be settled in common stock, cash, or a combination of both.</w:t>
      </w:r>
    </w:p>
    <w:p>
      <w:pPr>
        <w:spacing w:after="0" w:line="1" w:lineRule="exact"/>
        <w:rPr>
          <w:rFonts w:ascii="Arial" w:cs="Arial" w:eastAsia="Arial" w:hAnsi="Arial"/>
          <w:sz w:val="18"/>
          <w:szCs w:val="18"/>
          <w:i w:val="1"/>
          <w:iCs w:val="1"/>
          <w:color w:val="auto"/>
        </w:rPr>
      </w:pPr>
    </w:p>
    <w:p>
      <w:pPr>
        <w:ind w:left="1140" w:hanging="545"/>
        <w:spacing w:after="0"/>
        <w:tabs>
          <w:tab w:leader="none" w:pos="1140" w:val="left"/>
        </w:tabs>
        <w:numPr>
          <w:ilvl w:val="1"/>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1,538,151 shares represent RSUs.</w:t>
      </w:r>
    </w:p>
    <w:p>
      <w:pPr>
        <w:spacing w:after="0" w:line="55" w:lineRule="exact"/>
        <w:rPr>
          <w:rFonts w:ascii="Arial" w:cs="Arial" w:eastAsia="Arial" w:hAnsi="Arial"/>
          <w:sz w:val="18"/>
          <w:szCs w:val="18"/>
          <w:i w:val="1"/>
          <w:iCs w:val="1"/>
          <w:color w:val="auto"/>
        </w:rPr>
      </w:pPr>
    </w:p>
    <w:p>
      <w:pPr>
        <w:ind w:left="600" w:hanging="433"/>
        <w:spacing w:after="0"/>
        <w:tabs>
          <w:tab w:leader="none" w:pos="600" w:val="left"/>
        </w:tabs>
        <w:numPr>
          <w:ilvl w:val="0"/>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2016 Equity Incentive Plan – refer to Note 21 in our 2016 Form 10-K.</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RSUs, RSAs, and PSUs. PSUs may be issued upon achievement of performance conditions.</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1,641,102 stock-based units that are required to be settled in cash pursuant to award agreements.</w:t>
      </w:r>
    </w:p>
    <w:p>
      <w:pPr>
        <w:spacing w:after="0" w:line="143"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following table provides information on share usage for awards granted and performance awards vested/earned during fiscal year 2019 under the Company’s equity compensation plans.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300" w:type="dxa"/>
            <w:vAlign w:val="bottom"/>
            <w:tcBorders>
              <w:top w:val="single" w:sz="8" w:color="00A1DF"/>
            </w:tcBorders>
          </w:tcPr>
          <w:p>
            <w:pPr>
              <w:spacing w:after="0"/>
              <w:rPr>
                <w:sz w:val="18"/>
                <w:szCs w:val="18"/>
                <w:color w:val="auto"/>
              </w:rPr>
            </w:pPr>
          </w:p>
        </w:tc>
        <w:tc>
          <w:tcPr>
            <w:tcW w:w="3660" w:type="dxa"/>
            <w:vAlign w:val="bottom"/>
            <w:tcBorders>
              <w:top w:val="single" w:sz="8" w:color="00A1DF"/>
            </w:tcBorders>
          </w:tcPr>
          <w:p>
            <w:pPr>
              <w:spacing w:after="0"/>
              <w:rPr>
                <w:sz w:val="18"/>
                <w:szCs w:val="18"/>
                <w:color w:val="auto"/>
              </w:rPr>
            </w:pPr>
          </w:p>
        </w:tc>
        <w:tc>
          <w:tcPr>
            <w:tcW w:w="1960" w:type="dxa"/>
            <w:vAlign w:val="bottom"/>
            <w:tcBorders>
              <w:top w:val="single" w:sz="8" w:color="00A1DF"/>
            </w:tcBorders>
          </w:tcPr>
          <w:p>
            <w:pPr>
              <w:jc w:val="right"/>
              <w:ind w:right="2"/>
              <w:spacing w:after="0" w:line="213" w:lineRule="exact"/>
              <w:rPr>
                <w:sz w:val="20"/>
                <w:szCs w:val="20"/>
                <w:color w:val="auto"/>
              </w:rPr>
            </w:pPr>
            <w:r>
              <w:rPr>
                <w:rFonts w:ascii="Arial" w:cs="Arial" w:eastAsia="Arial" w:hAnsi="Arial"/>
                <w:sz w:val="20"/>
                <w:szCs w:val="20"/>
                <w:b w:val="1"/>
                <w:bCs w:val="1"/>
                <w:color w:val="00A1DF"/>
              </w:rPr>
              <w:t>Performance</w:t>
            </w:r>
          </w:p>
        </w:tc>
      </w:tr>
      <w:tr>
        <w:trPr>
          <w:trHeight w:val="214"/>
        </w:trPr>
        <w:tc>
          <w:tcPr>
            <w:tcW w:w="53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60" w:type="dxa"/>
            <w:vAlign w:val="bottom"/>
          </w:tcPr>
          <w:p>
            <w:pPr>
              <w:jc w:val="right"/>
              <w:ind w:right="2"/>
              <w:spacing w:after="0" w:line="214" w:lineRule="exact"/>
              <w:rPr>
                <w:sz w:val="20"/>
                <w:szCs w:val="20"/>
                <w:color w:val="auto"/>
              </w:rPr>
            </w:pPr>
            <w:r>
              <w:rPr>
                <w:rFonts w:ascii="Arial" w:cs="Arial" w:eastAsia="Arial" w:hAnsi="Arial"/>
                <w:sz w:val="20"/>
                <w:szCs w:val="20"/>
                <w:b w:val="1"/>
                <w:bCs w:val="1"/>
                <w:color w:val="00A1DF"/>
              </w:rPr>
              <w:t>Awards</w:t>
            </w:r>
          </w:p>
        </w:tc>
      </w:tr>
      <w:tr>
        <w:trPr>
          <w:trHeight w:val="273"/>
        </w:trPr>
        <w:tc>
          <w:tcPr>
            <w:tcW w:w="5300" w:type="dxa"/>
            <w:vAlign w:val="bottom"/>
          </w:tcPr>
          <w:p>
            <w:pPr>
              <w:spacing w:after="0"/>
              <w:rPr>
                <w:sz w:val="23"/>
                <w:szCs w:val="23"/>
                <w:color w:val="auto"/>
              </w:rPr>
            </w:pPr>
          </w:p>
        </w:tc>
        <w:tc>
          <w:tcPr>
            <w:tcW w:w="3660" w:type="dxa"/>
            <w:vAlign w:val="bottom"/>
          </w:tcPr>
          <w:p>
            <w:pPr>
              <w:jc w:val="right"/>
              <w:ind w:right="422"/>
              <w:spacing w:after="0"/>
              <w:rPr>
                <w:sz w:val="20"/>
                <w:szCs w:val="20"/>
                <w:color w:val="auto"/>
              </w:rPr>
            </w:pPr>
            <w:r>
              <w:rPr>
                <w:rFonts w:ascii="Arial" w:cs="Arial" w:eastAsia="Arial" w:hAnsi="Arial"/>
                <w:sz w:val="20"/>
                <w:szCs w:val="20"/>
                <w:b w:val="1"/>
                <w:bCs w:val="1"/>
                <w:color w:val="00A1DF"/>
              </w:rPr>
              <w:t>Granted</w:t>
            </w:r>
            <w:r>
              <w:rPr>
                <w:rFonts w:ascii="Arial" w:cs="Arial" w:eastAsia="Arial" w:hAnsi="Arial"/>
                <w:sz w:val="16"/>
                <w:szCs w:val="16"/>
                <w:b w:val="1"/>
                <w:bCs w:val="1"/>
                <w:color w:val="00A1DF"/>
              </w:rPr>
              <w:t>(1)</w:t>
            </w:r>
          </w:p>
        </w:tc>
        <w:tc>
          <w:tcPr>
            <w:tcW w:w="1960" w:type="dxa"/>
            <w:vAlign w:val="bottom"/>
          </w:tcPr>
          <w:p>
            <w:pPr>
              <w:jc w:val="right"/>
              <w:ind w:right="2"/>
              <w:spacing w:after="0"/>
              <w:rPr>
                <w:sz w:val="20"/>
                <w:szCs w:val="20"/>
                <w:color w:val="auto"/>
              </w:rPr>
            </w:pPr>
            <w:r>
              <w:rPr>
                <w:rFonts w:ascii="Arial" w:cs="Arial" w:eastAsia="Arial" w:hAnsi="Arial"/>
                <w:sz w:val="20"/>
                <w:szCs w:val="20"/>
                <w:b w:val="1"/>
                <w:bCs w:val="1"/>
                <w:color w:val="00A1DF"/>
              </w:rPr>
              <w:t>Vested/Earned</w:t>
            </w:r>
          </w:p>
        </w:tc>
      </w:tr>
      <w:tr>
        <w:trPr>
          <w:trHeight w:val="62"/>
        </w:trPr>
        <w:tc>
          <w:tcPr>
            <w:tcW w:w="5300" w:type="dxa"/>
            <w:vAlign w:val="bottom"/>
            <w:tcBorders>
              <w:bottom w:val="single" w:sz="8" w:color="00A1DF"/>
            </w:tcBorders>
          </w:tcPr>
          <w:p>
            <w:pPr>
              <w:spacing w:after="0"/>
              <w:rPr>
                <w:sz w:val="5"/>
                <w:szCs w:val="5"/>
                <w:color w:val="auto"/>
              </w:rPr>
            </w:pPr>
          </w:p>
        </w:tc>
        <w:tc>
          <w:tcPr>
            <w:tcW w:w="3660" w:type="dxa"/>
            <w:vAlign w:val="bottom"/>
            <w:tcBorders>
              <w:bottom w:val="single" w:sz="8" w:color="00A1DF"/>
            </w:tcBorders>
          </w:tcPr>
          <w:p>
            <w:pPr>
              <w:spacing w:after="0"/>
              <w:rPr>
                <w:sz w:val="5"/>
                <w:szCs w:val="5"/>
                <w:color w:val="auto"/>
              </w:rPr>
            </w:pPr>
          </w:p>
        </w:tc>
        <w:tc>
          <w:tcPr>
            <w:tcW w:w="1960" w:type="dxa"/>
            <w:vAlign w:val="bottom"/>
            <w:tcBorders>
              <w:bottom w:val="single" w:sz="8" w:color="00A1DF"/>
            </w:tcBorders>
          </w:tcPr>
          <w:p>
            <w:pPr>
              <w:spacing w:after="0"/>
              <w:rPr>
                <w:sz w:val="5"/>
                <w:szCs w:val="5"/>
                <w:color w:val="auto"/>
              </w:rPr>
            </w:pPr>
          </w:p>
        </w:tc>
      </w:tr>
      <w:tr>
        <w:trPr>
          <w:trHeight w:val="292"/>
        </w:trPr>
        <w:tc>
          <w:tcPr>
            <w:tcW w:w="5300" w:type="dxa"/>
            <w:vAlign w:val="bottom"/>
          </w:tcPr>
          <w:p>
            <w:pPr>
              <w:ind w:left="100"/>
              <w:spacing w:after="0"/>
              <w:rPr>
                <w:sz w:val="20"/>
                <w:szCs w:val="20"/>
                <w:color w:val="auto"/>
              </w:rPr>
            </w:pPr>
            <w:r>
              <w:rPr>
                <w:rFonts w:ascii="Arial" w:cs="Arial" w:eastAsia="Arial" w:hAnsi="Arial"/>
                <w:sz w:val="20"/>
                <w:szCs w:val="20"/>
                <w:color w:val="auto"/>
              </w:rPr>
              <w:t>RSUs</w:t>
            </w:r>
          </w:p>
        </w:tc>
        <w:tc>
          <w:tcPr>
            <w:tcW w:w="3660" w:type="dxa"/>
            <w:vAlign w:val="bottom"/>
          </w:tcPr>
          <w:p>
            <w:pPr>
              <w:jc w:val="right"/>
              <w:ind w:right="422"/>
              <w:spacing w:after="0"/>
              <w:rPr>
                <w:sz w:val="20"/>
                <w:szCs w:val="20"/>
                <w:color w:val="auto"/>
              </w:rPr>
            </w:pPr>
            <w:r>
              <w:rPr>
                <w:rFonts w:ascii="Arial" w:cs="Arial" w:eastAsia="Arial" w:hAnsi="Arial"/>
                <w:sz w:val="20"/>
                <w:szCs w:val="20"/>
                <w:color w:val="auto"/>
              </w:rPr>
              <w:t>800,000</w:t>
            </w:r>
          </w:p>
        </w:tc>
        <w:tc>
          <w:tcPr>
            <w:tcW w:w="196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62"/>
        </w:trPr>
        <w:tc>
          <w:tcPr>
            <w:tcW w:w="53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92"/>
        </w:trPr>
        <w:tc>
          <w:tcPr>
            <w:tcW w:w="5300" w:type="dxa"/>
            <w:vAlign w:val="bottom"/>
          </w:tcPr>
          <w:p>
            <w:pPr>
              <w:ind w:left="100"/>
              <w:spacing w:after="0"/>
              <w:rPr>
                <w:sz w:val="20"/>
                <w:szCs w:val="20"/>
                <w:color w:val="auto"/>
              </w:rPr>
            </w:pPr>
            <w:r>
              <w:rPr>
                <w:rFonts w:ascii="Arial" w:cs="Arial" w:eastAsia="Arial" w:hAnsi="Arial"/>
                <w:sz w:val="20"/>
                <w:szCs w:val="20"/>
                <w:color w:val="auto"/>
              </w:rPr>
              <w:t>RSAs</w:t>
            </w:r>
          </w:p>
        </w:tc>
        <w:tc>
          <w:tcPr>
            <w:tcW w:w="366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62"/>
        </w:trPr>
        <w:tc>
          <w:tcPr>
            <w:tcW w:w="53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92"/>
        </w:trPr>
        <w:tc>
          <w:tcPr>
            <w:tcW w:w="5300" w:type="dxa"/>
            <w:vAlign w:val="bottom"/>
          </w:tcPr>
          <w:p>
            <w:pPr>
              <w:ind w:left="100"/>
              <w:spacing w:after="0"/>
              <w:rPr>
                <w:sz w:val="20"/>
                <w:szCs w:val="20"/>
                <w:color w:val="auto"/>
              </w:rPr>
            </w:pPr>
            <w:r>
              <w:rPr>
                <w:rFonts w:ascii="Arial" w:cs="Arial" w:eastAsia="Arial" w:hAnsi="Arial"/>
                <w:sz w:val="20"/>
                <w:szCs w:val="20"/>
                <w:color w:val="auto"/>
              </w:rPr>
              <w:t>PSUs</w:t>
            </w:r>
          </w:p>
        </w:tc>
        <w:tc>
          <w:tcPr>
            <w:tcW w:w="3660" w:type="dxa"/>
            <w:vAlign w:val="bottom"/>
          </w:tcPr>
          <w:p>
            <w:pPr>
              <w:jc w:val="right"/>
              <w:ind w:right="422"/>
              <w:spacing w:after="0"/>
              <w:rPr>
                <w:sz w:val="20"/>
                <w:szCs w:val="20"/>
                <w:color w:val="auto"/>
              </w:rPr>
            </w:pPr>
            <w:r>
              <w:rPr>
                <w:rFonts w:ascii="Arial" w:cs="Arial" w:eastAsia="Arial" w:hAnsi="Arial"/>
                <w:sz w:val="20"/>
                <w:szCs w:val="20"/>
                <w:color w:val="auto"/>
              </w:rPr>
              <w:t>4,100,000</w:t>
            </w:r>
          </w:p>
        </w:tc>
        <w:tc>
          <w:tcPr>
            <w:tcW w:w="1960" w:type="dxa"/>
            <w:vAlign w:val="bottom"/>
          </w:tcPr>
          <w:p>
            <w:pPr>
              <w:jc w:val="right"/>
              <w:ind w:right="2"/>
              <w:spacing w:after="0"/>
              <w:rPr>
                <w:sz w:val="20"/>
                <w:szCs w:val="20"/>
                <w:color w:val="auto"/>
              </w:rPr>
            </w:pPr>
            <w:r>
              <w:rPr>
                <w:rFonts w:ascii="Arial" w:cs="Arial" w:eastAsia="Arial" w:hAnsi="Arial"/>
                <w:sz w:val="20"/>
                <w:szCs w:val="20"/>
                <w:color w:val="auto"/>
              </w:rPr>
              <w:t>8,500,000</w:t>
            </w:r>
          </w:p>
        </w:tc>
      </w:tr>
      <w:tr>
        <w:trPr>
          <w:trHeight w:val="62"/>
        </w:trPr>
        <w:tc>
          <w:tcPr>
            <w:tcW w:w="53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92"/>
        </w:trPr>
        <w:tc>
          <w:tcPr>
            <w:tcW w:w="5300" w:type="dxa"/>
            <w:vAlign w:val="bottom"/>
          </w:tcPr>
          <w:p>
            <w:pPr>
              <w:ind w:left="100"/>
              <w:spacing w:after="0"/>
              <w:rPr>
                <w:sz w:val="20"/>
                <w:szCs w:val="20"/>
                <w:color w:val="auto"/>
              </w:rPr>
            </w:pPr>
            <w:r>
              <w:rPr>
                <w:rFonts w:ascii="Arial" w:cs="Arial" w:eastAsia="Arial" w:hAnsi="Arial"/>
                <w:sz w:val="20"/>
                <w:szCs w:val="20"/>
                <w:color w:val="auto"/>
              </w:rPr>
              <w:t>Time-Based Stock Options</w:t>
            </w:r>
          </w:p>
        </w:tc>
        <w:tc>
          <w:tcPr>
            <w:tcW w:w="3660" w:type="dxa"/>
            <w:vAlign w:val="bottom"/>
          </w:tcPr>
          <w:p>
            <w:pPr>
              <w:jc w:val="right"/>
              <w:ind w:right="422"/>
              <w:spacing w:after="0"/>
              <w:rPr>
                <w:sz w:val="20"/>
                <w:szCs w:val="20"/>
                <w:color w:val="auto"/>
              </w:rPr>
            </w:pPr>
            <w:r>
              <w:rPr>
                <w:rFonts w:ascii="Arial" w:cs="Arial" w:eastAsia="Arial" w:hAnsi="Arial"/>
                <w:sz w:val="20"/>
                <w:szCs w:val="20"/>
                <w:color w:val="auto"/>
              </w:rPr>
              <w:t>3,900,000</w:t>
            </w:r>
          </w:p>
        </w:tc>
        <w:tc>
          <w:tcPr>
            <w:tcW w:w="196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62"/>
        </w:trPr>
        <w:tc>
          <w:tcPr>
            <w:tcW w:w="530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92"/>
        </w:trPr>
        <w:tc>
          <w:tcPr>
            <w:tcW w:w="5300" w:type="dxa"/>
            <w:vAlign w:val="bottom"/>
          </w:tcPr>
          <w:p>
            <w:pPr>
              <w:ind w:left="100"/>
              <w:spacing w:after="0"/>
              <w:rPr>
                <w:sz w:val="20"/>
                <w:szCs w:val="20"/>
                <w:color w:val="auto"/>
              </w:rPr>
            </w:pPr>
            <w:r>
              <w:rPr>
                <w:rFonts w:ascii="Arial" w:cs="Arial" w:eastAsia="Arial" w:hAnsi="Arial"/>
                <w:sz w:val="20"/>
                <w:szCs w:val="20"/>
                <w:color w:val="auto"/>
              </w:rPr>
              <w:t>Performance-Based Stock Options</w:t>
            </w:r>
          </w:p>
        </w:tc>
        <w:tc>
          <w:tcPr>
            <w:tcW w:w="3660" w:type="dxa"/>
            <w:vAlign w:val="bottom"/>
          </w:tcPr>
          <w:p>
            <w:pPr>
              <w:jc w:val="right"/>
              <w:ind w:right="422"/>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2"/>
              <w:spacing w:after="0"/>
              <w:rPr>
                <w:sz w:val="20"/>
                <w:szCs w:val="20"/>
                <w:color w:val="auto"/>
              </w:rPr>
            </w:pPr>
            <w:r>
              <w:rPr>
                <w:rFonts w:ascii="Arial" w:cs="Arial" w:eastAsia="Arial" w:hAnsi="Arial"/>
                <w:sz w:val="20"/>
                <w:szCs w:val="20"/>
                <w:color w:val="auto"/>
              </w:rPr>
              <w:t>4,400,000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100,000 stock-based units that are required to be settled in cash pursuant to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101600</wp:posOffset>
            </wp:positionV>
            <wp:extent cx="6793865" cy="1016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74</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37"/>
          <w:szCs w:val="37"/>
          <w:b w:val="1"/>
          <w:bCs w:val="1"/>
          <w:color w:val="00A1DF"/>
        </w:rPr>
        <w:t xml:space="preserve">ITEM NO. 1 </w:t>
      </w:r>
      <w:r>
        <w:rPr>
          <w:rFonts w:ascii="Arial" w:cs="Arial" w:eastAsia="Arial" w:hAnsi="Arial"/>
          <w:sz w:val="37"/>
          <w:szCs w:val="37"/>
          <w:color w:val="0033A0"/>
        </w:rPr>
        <w:t>– ELECTION OF DIRECTORS</w:t>
      </w:r>
    </w:p>
    <w:p>
      <w:pPr>
        <w:spacing w:after="0" w:line="197"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The Board has nominated the 11 incumbent directors – Ms. Barra, Mr. Solso, Mr. Bush, Ms. Gooden, Mr. Jimenez, Ms. Mendillo, Ms. Miscik, Ms. Russo, Mr. Schoewe, Ms. Stephenson, and Mr. Wenig – to be elected to serve on the Board until the next annual meeting of shareholders, or until their successors are duly elected and qualified, or until his or her earlier resignation or removal.</w:t>
      </w:r>
    </w:p>
    <w:p>
      <w:pPr>
        <w:spacing w:after="0" w:line="129"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If any nominee becomes unable to serve, proxies will be voted for the election of such other person as the Board may designate, unless the Board chooses to reduce the number of directors. Each of the directors has consented to serving as a nominee, being named in this Proxy Statement, and serving on the Board if elected.</w:t>
      </w:r>
    </w:p>
    <w:p>
      <w:pPr>
        <w:spacing w:after="0" w:line="114"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Your Board believes that GM has the right board at the right time, and that these directors collectively possess the right mix of skills, qualifications, and experiences to make strategic decisions that strengthen our business today and position it for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38010" cy="679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38010" cy="679450"/>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24"/>
          <w:szCs w:val="24"/>
          <w:b w:val="1"/>
          <w:bCs w:val="1"/>
          <w:color w:val="0033A0"/>
        </w:rPr>
        <w:t xml:space="preserve">The Board recommends a vote </w:t>
      </w:r>
      <w:r>
        <w:rPr>
          <w:rFonts w:ascii="Arial" w:cs="Arial" w:eastAsia="Arial" w:hAnsi="Arial"/>
          <w:sz w:val="24"/>
          <w:szCs w:val="24"/>
          <w:b w:val="1"/>
          <w:bCs w:val="1"/>
          <w:u w:val="single" w:color="auto"/>
          <w:color w:val="00A1DF"/>
        </w:rPr>
        <w:t>FOR</w:t>
      </w:r>
      <w:r>
        <w:rPr>
          <w:rFonts w:ascii="Arial" w:cs="Arial" w:eastAsia="Arial" w:hAnsi="Arial"/>
          <w:sz w:val="24"/>
          <w:szCs w:val="24"/>
          <w:b w:val="1"/>
          <w:bCs w:val="1"/>
          <w:color w:val="0033A0"/>
        </w:rPr>
        <w:t xml:space="preserve">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403225</wp:posOffset>
            </wp:positionV>
            <wp:extent cx="6793865" cy="1016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0033A0"/>
        </w:rPr>
        <w:t>FOR</w:t>
      </w:r>
    </w:p>
    <w:p>
      <w:pPr>
        <w:spacing w:after="0" w:line="200" w:lineRule="exact"/>
        <w:rPr>
          <w:sz w:val="20"/>
          <w:szCs w:val="20"/>
          <w:color w:val="auto"/>
        </w:rPr>
      </w:pPr>
    </w:p>
    <w:p>
      <w:pPr>
        <w:sectPr>
          <w:pgSz w:w="11900" w:h="16838" w:orient="portrait"/>
          <w:cols w:equalWidth="0" w:num="2">
            <w:col w:w="9220" w:space="720"/>
            <w:col w:w="1160"/>
          </w:cols>
          <w:pgMar w:left="320" w:top="456" w:right="479" w:bottom="1440" w:gutter="0" w:footer="0" w:header="0"/>
          <w:type w:val="continuous"/>
        </w:sectPr>
      </w:pPr>
    </w:p>
    <w:p>
      <w:pPr>
        <w:spacing w:after="0" w:line="232"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75</w:t>
      </w:r>
    </w:p>
    <w:p>
      <w:pPr>
        <w:sectPr>
          <w:pgSz w:w="11900" w:h="16838" w:orient="portrait"/>
          <w:cols w:equalWidth="0" w:num="1">
            <w:col w:w="11100"/>
          </w:cols>
          <w:pgMar w:left="320" w:top="456" w:right="47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680" w:right="60" w:hanging="2513"/>
        <w:spacing w:after="0" w:line="281" w:lineRule="auto"/>
        <w:rPr>
          <w:sz w:val="20"/>
          <w:szCs w:val="20"/>
          <w:color w:val="auto"/>
        </w:rPr>
      </w:pPr>
      <w:r>
        <w:rPr>
          <w:rFonts w:ascii="Arial" w:cs="Arial" w:eastAsia="Arial" w:hAnsi="Arial"/>
          <w:sz w:val="37"/>
          <w:szCs w:val="37"/>
          <w:b w:val="1"/>
          <w:bCs w:val="1"/>
          <w:color w:val="00A1DF"/>
        </w:rPr>
        <w:t xml:space="preserve">ITEM NO. 2 </w:t>
      </w:r>
      <w:r>
        <w:rPr>
          <w:rFonts w:ascii="Arial" w:cs="Arial" w:eastAsia="Arial" w:hAnsi="Arial"/>
          <w:sz w:val="37"/>
          <w:szCs w:val="37"/>
          <w:color w:val="0033A0"/>
        </w:rPr>
        <w:t>– ADVISORY APPROVAL OF NAMED EXECUTIVE</w:t>
      </w:r>
      <w:r>
        <w:rPr>
          <w:rFonts w:ascii="Arial" w:cs="Arial" w:eastAsia="Arial" w:hAnsi="Arial"/>
          <w:sz w:val="37"/>
          <w:szCs w:val="37"/>
          <w:b w:val="1"/>
          <w:bCs w:val="1"/>
          <w:color w:val="00A1DF"/>
        </w:rPr>
        <w:t xml:space="preserve"> </w:t>
      </w:r>
      <w:r>
        <w:rPr>
          <w:rFonts w:ascii="Arial" w:cs="Arial" w:eastAsia="Arial" w:hAnsi="Arial"/>
          <w:sz w:val="37"/>
          <w:szCs w:val="37"/>
          <w:color w:val="0033A0"/>
        </w:rPr>
        <w:t>OFFICER COMPENSATION</w:t>
      </w:r>
    </w:p>
    <w:p>
      <w:pPr>
        <w:spacing w:after="0" w:line="121"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w:t>
      </w:r>
    </w:p>
    <w:p>
      <w:pPr>
        <w:spacing w:after="0" w:line="129" w:lineRule="exact"/>
        <w:rPr>
          <w:sz w:val="20"/>
          <w:szCs w:val="20"/>
          <w:color w:val="auto"/>
        </w:rPr>
      </w:pPr>
    </w:p>
    <w:p>
      <w:pPr>
        <w:jc w:val="both"/>
        <w:ind w:left="160"/>
        <w:spacing w:after="0" w:line="241" w:lineRule="auto"/>
        <w:rPr>
          <w:sz w:val="20"/>
          <w:szCs w:val="20"/>
          <w:color w:val="auto"/>
        </w:rPr>
      </w:pPr>
      <w:r>
        <w:rPr>
          <w:rFonts w:ascii="Arial" w:cs="Arial" w:eastAsia="Arial" w:hAnsi="Arial"/>
          <w:sz w:val="19"/>
          <w:szCs w:val="19"/>
          <w:color w:val="auto"/>
        </w:rPr>
        <w:t>The Compensation Committee has approved the compensation arrangements for our NEOs described in our Compensation Discussion and Analysis beginning on page 38 and the accompanying compensation tables beginning on page 62 of this Proxy Statement. We urge you to read the Compensation Discussion and Analysis for a more complete understanding of our executive compensation plans, including our compensation philosophy, objectives, and the 2019 compensation of our NEOs.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 are asking shareholders to vote in favor of the following resolution:</w:t>
      </w:r>
    </w:p>
    <w:p>
      <w:pPr>
        <w:spacing w:after="0" w:line="94"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 the compensation paid to the Company’s named executive officers, as disclosed pursuant to Item 402 of</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S-K, including the Compensation Discussion and Analysis, compensation tables, and the related narrative discussion, is hereby APPROVED.</w:t>
      </w:r>
    </w:p>
    <w:p>
      <w:pPr>
        <w:spacing w:after="0" w:line="126"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auto"/>
        </w:rPr>
        <w:t>Although the vote on this item is non-binding, the Board of Directors and the Compensation Committee value the opinions of our shareholders and will consider the outcome of the vote when making future compensation decisions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38010" cy="679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38010" cy="67945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3" w:lineRule="exact"/>
        <w:rPr>
          <w:sz w:val="20"/>
          <w:szCs w:val="20"/>
          <w:color w:val="auto"/>
        </w:rPr>
      </w:pPr>
    </w:p>
    <w:p>
      <w:pPr>
        <w:ind w:left="500" w:right="480"/>
        <w:spacing w:after="0" w:line="281" w:lineRule="auto"/>
        <w:rPr>
          <w:sz w:val="20"/>
          <w:szCs w:val="20"/>
          <w:color w:val="auto"/>
        </w:rPr>
      </w:pPr>
      <w:r>
        <w:rPr>
          <w:rFonts w:ascii="Arial" w:cs="Arial" w:eastAsia="Arial" w:hAnsi="Arial"/>
          <w:sz w:val="25"/>
          <w:szCs w:val="25"/>
          <w:b w:val="1"/>
          <w:bCs w:val="1"/>
          <w:color w:val="0033A0"/>
        </w:rPr>
        <w:t xml:space="preserve">The Board recommends a vote </w:t>
      </w:r>
      <w:r>
        <w:rPr>
          <w:rFonts w:ascii="Arial" w:cs="Arial" w:eastAsia="Arial" w:hAnsi="Arial"/>
          <w:sz w:val="25"/>
          <w:szCs w:val="25"/>
          <w:b w:val="1"/>
          <w:bCs w:val="1"/>
          <w:u w:val="single" w:color="auto"/>
          <w:color w:val="00A1DF"/>
        </w:rPr>
        <w:t>FOR</w:t>
      </w:r>
      <w:r>
        <w:rPr>
          <w:rFonts w:ascii="Arial" w:cs="Arial" w:eastAsia="Arial" w:hAnsi="Arial"/>
          <w:sz w:val="25"/>
          <w:szCs w:val="25"/>
          <w:b w:val="1"/>
          <w:bCs w:val="1"/>
          <w:color w:val="0033A0"/>
        </w:rPr>
        <w:t xml:space="preserve"> the advisory proposal to approve named executive officer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8"/>
          <w:szCs w:val="28"/>
          <w:b w:val="1"/>
          <w:bCs w:val="1"/>
          <w:color w:val="0033A0"/>
        </w:rPr>
        <w:t>FOR</w:t>
      </w:r>
    </w:p>
    <w:p>
      <w:pPr>
        <w:spacing w:after="0" w:line="241" w:lineRule="exact"/>
        <w:rPr>
          <w:sz w:val="20"/>
          <w:szCs w:val="20"/>
          <w:color w:val="auto"/>
        </w:rPr>
      </w:pPr>
    </w:p>
    <w:p>
      <w:pPr>
        <w:sectPr>
          <w:pgSz w:w="11900" w:h="16838" w:orient="portrait"/>
          <w:cols w:equalWidth="0" w:num="2">
            <w:col w:w="9220" w:space="720"/>
            <w:col w:w="1140"/>
          </w:cols>
          <w:pgMar w:left="320" w:top="456" w:right="499" w:bottom="1440" w:gutter="0" w:footer="0" w:header="0"/>
          <w:type w:val="continuous"/>
        </w:sectPr>
      </w:pPr>
    </w:p>
    <w:p>
      <w:pPr>
        <w:spacing w:after="0" w:line="175"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76 </w:t>
      </w:r>
      <w:r>
        <w:rPr>
          <w:sz w:val="1"/>
          <w:szCs w:val="1"/>
          <w:color w:val="auto"/>
        </w:rPr>
        <w:drawing>
          <wp:inline distT="0" distB="0" distL="0" distR="0">
            <wp:extent cx="6793865" cy="10160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580" w:hanging="2406"/>
        <w:spacing w:after="0" w:line="261" w:lineRule="auto"/>
        <w:rPr>
          <w:sz w:val="20"/>
          <w:szCs w:val="20"/>
          <w:color w:val="auto"/>
        </w:rPr>
      </w:pPr>
      <w:r>
        <w:rPr>
          <w:rFonts w:ascii="Arial" w:cs="Arial" w:eastAsia="Arial" w:hAnsi="Arial"/>
          <w:sz w:val="37"/>
          <w:szCs w:val="37"/>
          <w:b w:val="1"/>
          <w:bCs w:val="1"/>
          <w:color w:val="00A1DF"/>
        </w:rPr>
        <w:t xml:space="preserve">ITEM NO. 3 </w:t>
      </w:r>
      <w:r>
        <w:rPr>
          <w:rFonts w:ascii="Arial" w:cs="Arial" w:eastAsia="Arial" w:hAnsi="Arial"/>
          <w:sz w:val="37"/>
          <w:szCs w:val="37"/>
          <w:color w:val="0033A0"/>
        </w:rPr>
        <w:t>– ADVISORY APPROVAL OF THE FREQUENCY OF</w:t>
      </w:r>
      <w:r>
        <w:rPr>
          <w:rFonts w:ascii="Arial" w:cs="Arial" w:eastAsia="Arial" w:hAnsi="Arial"/>
          <w:sz w:val="37"/>
          <w:szCs w:val="37"/>
          <w:b w:val="1"/>
          <w:bCs w:val="1"/>
          <w:color w:val="00A1DF"/>
        </w:rPr>
        <w:t xml:space="preserve"> </w:t>
      </w:r>
      <w:r>
        <w:rPr>
          <w:rFonts w:ascii="Arial" w:cs="Arial" w:eastAsia="Arial" w:hAnsi="Arial"/>
          <w:sz w:val="37"/>
          <w:szCs w:val="37"/>
          <w:color w:val="0033A0"/>
        </w:rPr>
        <w:t>FUTURE ADVISORY VOTES ON NAMED EXECUTIVE OFFICER COMPENSATION</w:t>
      </w:r>
    </w:p>
    <w:p>
      <w:pPr>
        <w:spacing w:after="0" w:line="157" w:lineRule="exact"/>
        <w:rPr>
          <w:sz w:val="20"/>
          <w:szCs w:val="20"/>
          <w:color w:val="auto"/>
        </w:rPr>
      </w:pPr>
    </w:p>
    <w:p>
      <w:pPr>
        <w:jc w:val="both"/>
        <w:ind w:left="160" w:right="80"/>
        <w:spacing w:after="0" w:line="227" w:lineRule="auto"/>
        <w:rPr>
          <w:sz w:val="20"/>
          <w:szCs w:val="20"/>
          <w:color w:val="auto"/>
        </w:rPr>
      </w:pPr>
      <w:r>
        <w:rPr>
          <w:rFonts w:ascii="Arial" w:cs="Arial" w:eastAsia="Arial" w:hAnsi="Arial"/>
          <w:sz w:val="20"/>
          <w:szCs w:val="20"/>
          <w:color w:val="auto"/>
        </w:rPr>
        <w:t>The Dodd-Frank Wall Street Reform and Consumer Protection Act requires that shareholders be given the opportunity to vote, on a non-binding advisory basis, on the future frequency of advisory votes on the compensation of our NEOs. When voting on this proposal, shareholders may indicate their preference for conducting future advisory votes to approve the compensation of NEOs once every one, two, or three years. Shareholders also may abstain from casting a vote on this proposal.</w:t>
      </w:r>
    </w:p>
    <w:p>
      <w:pPr>
        <w:spacing w:after="0" w:line="129" w:lineRule="exact"/>
        <w:rPr>
          <w:sz w:val="20"/>
          <w:szCs w:val="20"/>
          <w:color w:val="auto"/>
        </w:rPr>
      </w:pPr>
    </w:p>
    <w:p>
      <w:pPr>
        <w:jc w:val="both"/>
        <w:ind w:left="160" w:right="80"/>
        <w:spacing w:after="0" w:line="228" w:lineRule="auto"/>
        <w:rPr>
          <w:sz w:val="20"/>
          <w:szCs w:val="20"/>
          <w:color w:val="auto"/>
        </w:rPr>
      </w:pPr>
      <w:r>
        <w:rPr>
          <w:rFonts w:ascii="Arial" w:cs="Arial" w:eastAsia="Arial" w:hAnsi="Arial"/>
          <w:sz w:val="20"/>
          <w:szCs w:val="20"/>
          <w:color w:val="auto"/>
        </w:rPr>
        <w:t>Your Board of Directors believes that an annual advisory vote to approve the compensation of the NEOs will allow our shareholders to provide timely, direct input on the Company’s executive compensation philosophy, policies, and practices disclosed in the Proxy Statement each year. The vote is advisory, which means that the vote is not binding on the Company, our Board of Directors, or the Compensation Committee.</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We are asking shareholders to vote in favor of the following resolution:</w:t>
      </w:r>
    </w:p>
    <w:p>
      <w:pPr>
        <w:spacing w:after="0" w:line="94" w:lineRule="exact"/>
        <w:rPr>
          <w:sz w:val="20"/>
          <w:szCs w:val="20"/>
          <w:color w:val="auto"/>
        </w:rPr>
      </w:pPr>
    </w:p>
    <w:p>
      <w:pPr>
        <w:jc w:val="both"/>
        <w:ind w:left="160" w:right="80"/>
        <w:spacing w:after="0" w:line="239"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shareholders determine, on an advisory basis, that the preferred frequency of an advisory vote 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of the Company’s named executive officers as set forth in the Company’s Proxy Statement should be every year.</w:t>
      </w:r>
    </w:p>
    <w:p>
      <w:pPr>
        <w:spacing w:after="0" w:line="126" w:lineRule="exact"/>
        <w:rPr>
          <w:sz w:val="20"/>
          <w:szCs w:val="20"/>
          <w:color w:val="auto"/>
        </w:rPr>
      </w:pPr>
    </w:p>
    <w:p>
      <w:pPr>
        <w:jc w:val="both"/>
        <w:ind w:left="160" w:right="80"/>
        <w:spacing w:after="0" w:line="228" w:lineRule="auto"/>
        <w:rPr>
          <w:sz w:val="20"/>
          <w:szCs w:val="20"/>
          <w:color w:val="auto"/>
        </w:rPr>
      </w:pPr>
      <w:r>
        <w:rPr>
          <w:rFonts w:ascii="Arial" w:cs="Arial" w:eastAsia="Arial" w:hAnsi="Arial"/>
          <w:sz w:val="20"/>
          <w:szCs w:val="20"/>
          <w:color w:val="auto"/>
        </w:rPr>
        <w:t>Shareholders will be able to specify one of four choices for this proposal on the proxy card: one year, two years, three years, or abstain. Although the vote on this item is non-binding, the Board of Directors and the Compensation Committee value the opinions of our shareholders and will consider the outcome of the vote when determining how often to submit an advisory vote on compensation for NEOs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38010" cy="9423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38010" cy="942340"/>
                    </a:xfrm>
                    <a:prstGeom prst="rect">
                      <a:avLst/>
                    </a:prstGeom>
                    <a:noFill/>
                  </pic:spPr>
                </pic:pic>
              </a:graphicData>
            </a:graphic>
          </wp:anchor>
        </w:drawing>
      </w:r>
    </w:p>
    <w:p>
      <w:pPr>
        <w:sectPr>
          <w:pgSz w:w="11900" w:h="16838" w:orient="portrait"/>
          <w:cols w:equalWidth="0" w:num="1">
            <w:col w:w="11160"/>
          </w:cols>
          <w:pgMar w:left="320" w:top="456" w:right="4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500" w:right="40"/>
        <w:spacing w:after="0" w:line="263" w:lineRule="auto"/>
        <w:rPr>
          <w:sz w:val="20"/>
          <w:szCs w:val="20"/>
          <w:color w:val="auto"/>
        </w:rPr>
      </w:pPr>
      <w:r>
        <w:rPr>
          <w:rFonts w:ascii="Arial" w:cs="Arial" w:eastAsia="Arial" w:hAnsi="Arial"/>
          <w:sz w:val="25"/>
          <w:szCs w:val="25"/>
          <w:b w:val="1"/>
          <w:bCs w:val="1"/>
          <w:color w:val="0033A0"/>
        </w:rPr>
        <w:t xml:space="preserve">The Board recommends a vote for the option of </w:t>
      </w:r>
      <w:r>
        <w:rPr>
          <w:rFonts w:ascii="Arial" w:cs="Arial" w:eastAsia="Arial" w:hAnsi="Arial"/>
          <w:sz w:val="25"/>
          <w:szCs w:val="25"/>
          <w:b w:val="1"/>
          <w:bCs w:val="1"/>
          <w:u w:val="single" w:color="auto"/>
          <w:color w:val="00A1DF"/>
        </w:rPr>
        <w:t>ONE YEAR</w:t>
      </w:r>
      <w:r>
        <w:rPr>
          <w:rFonts w:ascii="Arial" w:cs="Arial" w:eastAsia="Arial" w:hAnsi="Arial"/>
          <w:sz w:val="25"/>
          <w:szCs w:val="25"/>
          <w:b w:val="1"/>
          <w:bCs w:val="1"/>
          <w:color w:val="0033A0"/>
        </w:rPr>
        <w:t xml:space="preserve"> as the preferred frequency for a shareholder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292735</wp:posOffset>
            </wp:positionV>
            <wp:extent cx="6793865" cy="1016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0033A0"/>
        </w:rPr>
        <w:t>ONE</w:t>
      </w:r>
    </w:p>
    <w:p>
      <w:pPr>
        <w:spacing w:after="0" w:line="37" w:lineRule="exact"/>
        <w:rPr>
          <w:sz w:val="20"/>
          <w:szCs w:val="20"/>
          <w:color w:val="auto"/>
        </w:rPr>
      </w:pPr>
    </w:p>
    <w:p>
      <w:pPr>
        <w:spacing w:after="0"/>
        <w:rPr>
          <w:sz w:val="20"/>
          <w:szCs w:val="20"/>
          <w:color w:val="auto"/>
        </w:rPr>
      </w:pPr>
      <w:r>
        <w:rPr>
          <w:rFonts w:ascii="Arial" w:cs="Arial" w:eastAsia="Arial" w:hAnsi="Arial"/>
          <w:sz w:val="28"/>
          <w:szCs w:val="28"/>
          <w:b w:val="1"/>
          <w:bCs w:val="1"/>
          <w:color w:val="0033A0"/>
        </w:rPr>
        <w:t>YEAR</w:t>
      </w:r>
    </w:p>
    <w:p>
      <w:pPr>
        <w:spacing w:after="0" w:line="200" w:lineRule="exact"/>
        <w:rPr>
          <w:sz w:val="20"/>
          <w:szCs w:val="20"/>
          <w:color w:val="auto"/>
        </w:rPr>
      </w:pPr>
    </w:p>
    <w:p>
      <w:pPr>
        <w:sectPr>
          <w:pgSz w:w="11900" w:h="16838" w:orient="portrait"/>
          <w:cols w:equalWidth="0" w:num="2">
            <w:col w:w="9140" w:space="720"/>
            <w:col w:w="1300"/>
          </w:cols>
          <w:pgMar w:left="320" w:top="456" w:right="419" w:bottom="1440" w:gutter="0" w:footer="0" w:header="0"/>
          <w:type w:val="continuous"/>
        </w:sectPr>
      </w:pPr>
    </w:p>
    <w:p>
      <w:pPr>
        <w:spacing w:after="0" w:line="196"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77</w:t>
      </w:r>
    </w:p>
    <w:p>
      <w:pPr>
        <w:sectPr>
          <w:pgSz w:w="11900" w:h="16838" w:orient="portrait"/>
          <w:cols w:equalWidth="0" w:num="1">
            <w:col w:w="11160"/>
          </w:cols>
          <w:pgMar w:left="320" w:top="456" w:right="41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680" w:right="680" w:hanging="2513"/>
        <w:spacing w:after="0" w:line="261" w:lineRule="auto"/>
        <w:rPr>
          <w:sz w:val="20"/>
          <w:szCs w:val="20"/>
          <w:color w:val="auto"/>
        </w:rPr>
      </w:pPr>
      <w:r>
        <w:rPr>
          <w:rFonts w:ascii="Arial" w:cs="Arial" w:eastAsia="Arial" w:hAnsi="Arial"/>
          <w:sz w:val="37"/>
          <w:szCs w:val="37"/>
          <w:b w:val="1"/>
          <w:bCs w:val="1"/>
          <w:color w:val="00A1DF"/>
        </w:rPr>
        <w:t xml:space="preserve">ITEM NO. 4 </w:t>
      </w:r>
      <w:r>
        <w:rPr>
          <w:rFonts w:ascii="Arial" w:cs="Arial" w:eastAsia="Arial" w:hAnsi="Arial"/>
          <w:sz w:val="37"/>
          <w:szCs w:val="37"/>
          <w:color w:val="0033A0"/>
        </w:rPr>
        <w:t>– RATIFICATION OF THE SELECTION OF THE</w:t>
      </w:r>
      <w:r>
        <w:rPr>
          <w:rFonts w:ascii="Arial" w:cs="Arial" w:eastAsia="Arial" w:hAnsi="Arial"/>
          <w:sz w:val="37"/>
          <w:szCs w:val="37"/>
          <w:b w:val="1"/>
          <w:bCs w:val="1"/>
          <w:color w:val="00A1DF"/>
        </w:rPr>
        <w:t xml:space="preserve"> </w:t>
      </w:r>
      <w:r>
        <w:rPr>
          <w:rFonts w:ascii="Arial" w:cs="Arial" w:eastAsia="Arial" w:hAnsi="Arial"/>
          <w:sz w:val="37"/>
          <w:szCs w:val="37"/>
          <w:color w:val="0033A0"/>
        </w:rPr>
        <w:t>INDEPENDENT REGISTERED PUBLIC ACCOUNTING FIRM FOR 2020</w:t>
      </w:r>
    </w:p>
    <w:p>
      <w:pPr>
        <w:spacing w:after="0" w:line="157"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The Audit Committee has selected Ernst &amp; Young LLP as the Company’s independent registered public accounting firm for the fiscal year ending December 31, 2020. The Board recommends that shareholders ratify the Audit Committee’s selection. If shareholders do not ratify the selection of EY, the Audit Committee will reconsider whether to engage EY, but may ultimately determine to engage EY or another audit firm without resubmitting the matter to shareholders.</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128" w:lineRule="exact"/>
        <w:rPr>
          <w:sz w:val="20"/>
          <w:szCs w:val="20"/>
          <w:color w:val="auto"/>
        </w:rPr>
      </w:pPr>
    </w:p>
    <w:p>
      <w:pPr>
        <w:jc w:val="both"/>
        <w:ind w:left="160" w:right="20"/>
        <w:spacing w:after="0" w:line="234" w:lineRule="auto"/>
        <w:rPr>
          <w:sz w:val="20"/>
          <w:szCs w:val="20"/>
          <w:color w:val="auto"/>
        </w:rPr>
      </w:pPr>
      <w:r>
        <w:rPr>
          <w:rFonts w:ascii="Arial" w:cs="Arial" w:eastAsia="Arial" w:hAnsi="Arial"/>
          <w:sz w:val="20"/>
          <w:szCs w:val="20"/>
          <w:color w:val="auto"/>
        </w:rPr>
        <w:t>We expect that representatives of EY will be present at the Annual Meeting, and they will have an opportunity to make a statement if they so desire and are expected to be available to respond to appropriate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142240</wp:posOffset>
            </wp:positionV>
            <wp:extent cx="6114415" cy="12484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114415" cy="124841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1704975</wp:posOffset>
            </wp:positionV>
            <wp:extent cx="6938010" cy="789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38010" cy="78994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500" w:right="20"/>
        <w:spacing w:after="0" w:line="263" w:lineRule="auto"/>
        <w:rPr>
          <w:sz w:val="20"/>
          <w:szCs w:val="20"/>
          <w:color w:val="auto"/>
        </w:rPr>
      </w:pPr>
      <w:r>
        <w:rPr>
          <w:rFonts w:ascii="Arial" w:cs="Arial" w:eastAsia="Arial" w:hAnsi="Arial"/>
          <w:sz w:val="25"/>
          <w:szCs w:val="25"/>
          <w:b w:val="1"/>
          <w:bCs w:val="1"/>
          <w:color w:val="0033A0"/>
        </w:rPr>
        <w:t xml:space="preserve">The Board recommends a vote </w:t>
      </w:r>
      <w:r>
        <w:rPr>
          <w:rFonts w:ascii="Arial" w:cs="Arial" w:eastAsia="Arial" w:hAnsi="Arial"/>
          <w:sz w:val="25"/>
          <w:szCs w:val="25"/>
          <w:b w:val="1"/>
          <w:bCs w:val="1"/>
          <w:u w:val="single" w:color="auto"/>
          <w:color w:val="00A1DF"/>
        </w:rPr>
        <w:t>FOR</w:t>
      </w:r>
      <w:r>
        <w:rPr>
          <w:rFonts w:ascii="Arial" w:cs="Arial" w:eastAsia="Arial" w:hAnsi="Arial"/>
          <w:sz w:val="25"/>
          <w:szCs w:val="25"/>
          <w:b w:val="1"/>
          <w:bCs w:val="1"/>
          <w:color w:val="0033A0"/>
        </w:rPr>
        <w:t xml:space="preserve"> the proposal to ratify the selection of Ernst &amp; Young LLP as the independent registered public accounting firm for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8"/>
          <w:szCs w:val="28"/>
          <w:b w:val="1"/>
          <w:bCs w:val="1"/>
          <w:color w:val="0033A0"/>
        </w:rPr>
        <w:t>FOR</w:t>
      </w:r>
    </w:p>
    <w:p>
      <w:pPr>
        <w:spacing w:after="0" w:line="460" w:lineRule="exact"/>
        <w:rPr>
          <w:sz w:val="20"/>
          <w:szCs w:val="20"/>
          <w:color w:val="auto"/>
        </w:rPr>
      </w:pPr>
    </w:p>
    <w:p>
      <w:pPr>
        <w:sectPr>
          <w:pgSz w:w="11900" w:h="16838" w:orient="portrait"/>
          <w:cols w:equalWidth="0" w:num="2">
            <w:col w:w="9220" w:space="720"/>
            <w:col w:w="1140"/>
          </w:cols>
          <w:pgMar w:left="320" w:top="456" w:right="499" w:bottom="1440" w:gutter="0" w:footer="0" w:header="0"/>
          <w:type w:val="continuous"/>
        </w:sectPr>
      </w:pPr>
    </w:p>
    <w:p>
      <w:pPr>
        <w:spacing w:after="0" w:line="130"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78 </w:t>
      </w:r>
      <w:r>
        <w:rPr>
          <w:sz w:val="1"/>
          <w:szCs w:val="1"/>
          <w:color w:val="auto"/>
        </w:rPr>
        <w:drawing>
          <wp:inline distT="0" distB="0" distL="0" distR="0">
            <wp:extent cx="6793865" cy="10160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Fees Paid to Independent Registered Public Accounting Firm</w:t>
      </w:r>
    </w:p>
    <w:p>
      <w:pPr>
        <w:sectPr>
          <w:pgSz w:w="11900" w:h="16838" w:orient="portrait"/>
          <w:cols w:equalWidth="0" w:num="1">
            <w:col w:w="11100"/>
          </w:cols>
          <w:pgMar w:left="320" w:top="456" w:right="479" w:bottom="1440" w:gutter="0" w:footer="0" w:header="0"/>
        </w:sectPr>
      </w:pPr>
    </w:p>
    <w:p>
      <w:pPr>
        <w:spacing w:after="0" w:line="20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following table summarizes the fees for professional services provided by EY for the audit of GM’s annual financial statements and internal control over financial reporting for the years ended December 31, 2019 and 2018, together with the fees billed for other services rendered by EY during these periods.</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660" w:type="dxa"/>
            <w:vAlign w:val="bottom"/>
            <w:tcBorders>
              <w:top w:val="single" w:sz="8" w:color="00A1DF"/>
            </w:tcBorders>
          </w:tcPr>
          <w:p>
            <w:pPr>
              <w:spacing w:after="0"/>
              <w:rPr>
                <w:sz w:val="18"/>
                <w:szCs w:val="18"/>
                <w:color w:val="auto"/>
              </w:rPr>
            </w:pPr>
          </w:p>
        </w:tc>
        <w:tc>
          <w:tcPr>
            <w:tcW w:w="1940" w:type="dxa"/>
            <w:vAlign w:val="bottom"/>
            <w:tcBorders>
              <w:top w:val="single" w:sz="8" w:color="00A1DF"/>
            </w:tcBorders>
          </w:tcPr>
          <w:p>
            <w:pPr>
              <w:jc w:val="right"/>
              <w:ind w:right="222"/>
              <w:spacing w:after="0" w:line="213" w:lineRule="exact"/>
              <w:rPr>
                <w:sz w:val="20"/>
                <w:szCs w:val="20"/>
                <w:color w:val="auto"/>
              </w:rPr>
            </w:pPr>
            <w:r>
              <w:rPr>
                <w:rFonts w:ascii="Arial" w:cs="Arial" w:eastAsia="Arial" w:hAnsi="Arial"/>
                <w:sz w:val="20"/>
                <w:szCs w:val="20"/>
                <w:b w:val="1"/>
                <w:bCs w:val="1"/>
                <w:color w:val="00A1DF"/>
              </w:rPr>
              <w:t>2019</w:t>
            </w:r>
          </w:p>
        </w:tc>
        <w:tc>
          <w:tcPr>
            <w:tcW w:w="164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2018</w:t>
            </w:r>
          </w:p>
        </w:tc>
      </w:tr>
      <w:tr>
        <w:trPr>
          <w:trHeight w:val="273"/>
        </w:trPr>
        <w:tc>
          <w:tcPr>
            <w:tcW w:w="1660" w:type="dxa"/>
            <w:vAlign w:val="bottom"/>
          </w:tcPr>
          <w:p>
            <w:pPr>
              <w:ind w:left="20"/>
              <w:spacing w:after="0"/>
              <w:rPr>
                <w:sz w:val="20"/>
                <w:szCs w:val="20"/>
                <w:color w:val="auto"/>
              </w:rPr>
            </w:pPr>
            <w:r>
              <w:rPr>
                <w:rFonts w:ascii="Arial" w:cs="Arial" w:eastAsia="Arial" w:hAnsi="Arial"/>
                <w:sz w:val="20"/>
                <w:szCs w:val="20"/>
                <w:b w:val="1"/>
                <w:bCs w:val="1"/>
                <w:color w:val="00A1DF"/>
              </w:rPr>
              <w:t>Type of Fees</w:t>
            </w:r>
          </w:p>
        </w:tc>
        <w:tc>
          <w:tcPr>
            <w:tcW w:w="1940" w:type="dxa"/>
            <w:vAlign w:val="bottom"/>
          </w:tcPr>
          <w:p>
            <w:pPr>
              <w:jc w:val="right"/>
              <w:ind w:right="222"/>
              <w:spacing w:after="0"/>
              <w:rPr>
                <w:sz w:val="20"/>
                <w:szCs w:val="20"/>
                <w:color w:val="auto"/>
              </w:rPr>
            </w:pPr>
            <w:r>
              <w:rPr>
                <w:rFonts w:ascii="Arial" w:cs="Arial" w:eastAsia="Arial" w:hAnsi="Arial"/>
                <w:sz w:val="20"/>
                <w:szCs w:val="20"/>
                <w:b w:val="1"/>
                <w:bCs w:val="1"/>
                <w:color w:val="00A1DF"/>
              </w:rPr>
              <w:t>($ in millions)</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00A1DF"/>
              </w:rPr>
              <w:t>($ in millions)</w:t>
            </w:r>
          </w:p>
        </w:tc>
      </w:tr>
      <w:tr>
        <w:trPr>
          <w:trHeight w:val="62"/>
        </w:trPr>
        <w:tc>
          <w:tcPr>
            <w:tcW w:w="1660" w:type="dxa"/>
            <w:vAlign w:val="bottom"/>
            <w:tcBorders>
              <w:bottom w:val="single" w:sz="8" w:color="00A1DF"/>
            </w:tcBorders>
          </w:tcPr>
          <w:p>
            <w:pPr>
              <w:spacing w:after="0"/>
              <w:rPr>
                <w:sz w:val="5"/>
                <w:szCs w:val="5"/>
                <w:color w:val="auto"/>
              </w:rPr>
            </w:pPr>
          </w:p>
        </w:tc>
        <w:tc>
          <w:tcPr>
            <w:tcW w:w="1940" w:type="dxa"/>
            <w:vAlign w:val="bottom"/>
            <w:tcBorders>
              <w:bottom w:val="single" w:sz="8" w:color="00A1DF"/>
            </w:tcBorders>
          </w:tcPr>
          <w:p>
            <w:pPr>
              <w:spacing w:after="0"/>
              <w:rPr>
                <w:sz w:val="5"/>
                <w:szCs w:val="5"/>
                <w:color w:val="auto"/>
              </w:rPr>
            </w:pPr>
          </w:p>
        </w:tc>
        <w:tc>
          <w:tcPr>
            <w:tcW w:w="1640" w:type="dxa"/>
            <w:vAlign w:val="bottom"/>
            <w:tcBorders>
              <w:bottom w:val="single" w:sz="8" w:color="00A1DF"/>
            </w:tcBorders>
          </w:tcPr>
          <w:p>
            <w:pPr>
              <w:spacing w:after="0"/>
              <w:rPr>
                <w:sz w:val="5"/>
                <w:szCs w:val="5"/>
                <w:color w:val="auto"/>
              </w:rPr>
            </w:pPr>
          </w:p>
        </w:tc>
      </w:tr>
      <w:tr>
        <w:trPr>
          <w:trHeight w:val="292"/>
        </w:trPr>
        <w:tc>
          <w:tcPr>
            <w:tcW w:w="1660" w:type="dxa"/>
            <w:vAlign w:val="bottom"/>
          </w:tcPr>
          <w:p>
            <w:pPr>
              <w:ind w:left="100"/>
              <w:spacing w:after="0"/>
              <w:rPr>
                <w:sz w:val="20"/>
                <w:szCs w:val="20"/>
                <w:color w:val="auto"/>
              </w:rPr>
            </w:pPr>
            <w:r>
              <w:rPr>
                <w:rFonts w:ascii="Arial" w:cs="Arial" w:eastAsia="Arial" w:hAnsi="Arial"/>
                <w:sz w:val="20"/>
                <w:szCs w:val="20"/>
                <w:color w:val="auto"/>
              </w:rPr>
              <w:t>Audit</w:t>
            </w:r>
          </w:p>
        </w:tc>
        <w:tc>
          <w:tcPr>
            <w:tcW w:w="1940" w:type="dxa"/>
            <w:vAlign w:val="bottom"/>
          </w:tcPr>
          <w:p>
            <w:pPr>
              <w:jc w:val="right"/>
              <w:ind w:right="222"/>
              <w:spacing w:after="0"/>
              <w:rPr>
                <w:sz w:val="20"/>
                <w:szCs w:val="20"/>
                <w:color w:val="auto"/>
              </w:rPr>
            </w:pPr>
            <w:r>
              <w:rPr>
                <w:rFonts w:ascii="Arial" w:cs="Arial" w:eastAsia="Arial" w:hAnsi="Arial"/>
                <w:sz w:val="20"/>
                <w:szCs w:val="20"/>
                <w:color w:val="auto"/>
              </w:rPr>
              <w:t>22</w:t>
            </w:r>
          </w:p>
        </w:tc>
        <w:tc>
          <w:tcPr>
            <w:tcW w:w="16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62"/>
        </w:trPr>
        <w:tc>
          <w:tcPr>
            <w:tcW w:w="16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1660" w:type="dxa"/>
            <w:vAlign w:val="bottom"/>
          </w:tcPr>
          <w:p>
            <w:pPr>
              <w:ind w:left="100"/>
              <w:spacing w:after="0"/>
              <w:rPr>
                <w:sz w:val="20"/>
                <w:szCs w:val="20"/>
                <w:color w:val="auto"/>
              </w:rPr>
            </w:pPr>
            <w:r>
              <w:rPr>
                <w:rFonts w:ascii="Arial" w:cs="Arial" w:eastAsia="Arial" w:hAnsi="Arial"/>
                <w:sz w:val="20"/>
                <w:szCs w:val="20"/>
                <w:color w:val="auto"/>
              </w:rPr>
              <w:t>Audit-Related</w:t>
            </w:r>
          </w:p>
        </w:tc>
        <w:tc>
          <w:tcPr>
            <w:tcW w:w="1940" w:type="dxa"/>
            <w:vAlign w:val="bottom"/>
          </w:tcPr>
          <w:p>
            <w:pPr>
              <w:jc w:val="right"/>
              <w:ind w:right="222"/>
              <w:spacing w:after="0"/>
              <w:rPr>
                <w:sz w:val="20"/>
                <w:szCs w:val="20"/>
                <w:color w:val="auto"/>
              </w:rPr>
            </w:pPr>
            <w:r>
              <w:rPr>
                <w:rFonts w:ascii="Arial" w:cs="Arial" w:eastAsia="Arial" w:hAnsi="Arial"/>
                <w:sz w:val="20"/>
                <w:szCs w:val="20"/>
                <w:color w:val="auto"/>
              </w:rPr>
              <w:t>5</w:t>
            </w:r>
          </w:p>
        </w:tc>
        <w:tc>
          <w:tcPr>
            <w:tcW w:w="16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62"/>
        </w:trPr>
        <w:tc>
          <w:tcPr>
            <w:tcW w:w="16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1660" w:type="dxa"/>
            <w:vAlign w:val="bottom"/>
          </w:tcPr>
          <w:p>
            <w:pPr>
              <w:ind w:left="100"/>
              <w:spacing w:after="0"/>
              <w:rPr>
                <w:sz w:val="20"/>
                <w:szCs w:val="20"/>
                <w:color w:val="auto"/>
              </w:rPr>
            </w:pPr>
            <w:r>
              <w:rPr>
                <w:rFonts w:ascii="Arial" w:cs="Arial" w:eastAsia="Arial" w:hAnsi="Arial"/>
                <w:sz w:val="20"/>
                <w:szCs w:val="20"/>
                <w:color w:val="auto"/>
              </w:rPr>
              <w:t>Tax</w:t>
            </w:r>
          </w:p>
        </w:tc>
        <w:tc>
          <w:tcPr>
            <w:tcW w:w="1940" w:type="dxa"/>
            <w:vAlign w:val="bottom"/>
          </w:tcPr>
          <w:p>
            <w:pPr>
              <w:jc w:val="right"/>
              <w:ind w:right="222"/>
              <w:spacing w:after="0"/>
              <w:rPr>
                <w:sz w:val="20"/>
                <w:szCs w:val="20"/>
                <w:color w:val="auto"/>
              </w:rPr>
            </w:pPr>
            <w:r>
              <w:rPr>
                <w:rFonts w:ascii="Arial" w:cs="Arial" w:eastAsia="Arial" w:hAnsi="Arial"/>
                <w:sz w:val="20"/>
                <w:szCs w:val="20"/>
                <w:color w:val="auto"/>
              </w:rPr>
              <w:t>3</w:t>
            </w:r>
          </w:p>
        </w:tc>
        <w:tc>
          <w:tcPr>
            <w:tcW w:w="16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62"/>
        </w:trPr>
        <w:tc>
          <w:tcPr>
            <w:tcW w:w="16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1660" w:type="dxa"/>
            <w:vAlign w:val="bottom"/>
          </w:tcPr>
          <w:p>
            <w:pPr>
              <w:ind w:left="100"/>
              <w:spacing w:after="0"/>
              <w:rPr>
                <w:sz w:val="20"/>
                <w:szCs w:val="20"/>
                <w:color w:val="auto"/>
              </w:rPr>
            </w:pPr>
            <w:r>
              <w:rPr>
                <w:rFonts w:ascii="Arial" w:cs="Arial" w:eastAsia="Arial" w:hAnsi="Arial"/>
                <w:sz w:val="20"/>
                <w:szCs w:val="20"/>
                <w:color w:val="auto"/>
              </w:rPr>
              <w:t>Subtotal</w:t>
            </w:r>
          </w:p>
        </w:tc>
        <w:tc>
          <w:tcPr>
            <w:tcW w:w="1940" w:type="dxa"/>
            <w:vAlign w:val="bottom"/>
          </w:tcPr>
          <w:p>
            <w:pPr>
              <w:jc w:val="right"/>
              <w:ind w:right="222"/>
              <w:spacing w:after="0"/>
              <w:rPr>
                <w:sz w:val="20"/>
                <w:szCs w:val="20"/>
                <w:color w:val="auto"/>
              </w:rPr>
            </w:pPr>
            <w:r>
              <w:rPr>
                <w:rFonts w:ascii="Arial" w:cs="Arial" w:eastAsia="Arial" w:hAnsi="Arial"/>
                <w:sz w:val="20"/>
                <w:szCs w:val="20"/>
                <w:color w:val="auto"/>
              </w:rPr>
              <w:t>30</w:t>
            </w:r>
          </w:p>
        </w:tc>
        <w:tc>
          <w:tcPr>
            <w:tcW w:w="16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62"/>
        </w:trPr>
        <w:tc>
          <w:tcPr>
            <w:tcW w:w="16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71"/>
        </w:trPr>
        <w:tc>
          <w:tcPr>
            <w:tcW w:w="1660" w:type="dxa"/>
            <w:vAlign w:val="bottom"/>
          </w:tcPr>
          <w:p>
            <w:pPr>
              <w:ind w:left="100"/>
              <w:spacing w:after="0"/>
              <w:rPr>
                <w:sz w:val="20"/>
                <w:szCs w:val="20"/>
                <w:color w:val="auto"/>
              </w:rPr>
            </w:pPr>
            <w:r>
              <w:rPr>
                <w:rFonts w:ascii="Arial" w:cs="Arial" w:eastAsia="Arial" w:hAnsi="Arial"/>
                <w:sz w:val="20"/>
                <w:szCs w:val="20"/>
                <w:color w:val="auto"/>
              </w:rPr>
              <w:t>All Other</w:t>
            </w:r>
          </w:p>
        </w:tc>
        <w:tc>
          <w:tcPr>
            <w:tcW w:w="19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5"/>
        </w:trPr>
        <w:tc>
          <w:tcPr>
            <w:tcW w:w="1660" w:type="dxa"/>
            <w:vAlign w:val="bottom"/>
          </w:tcPr>
          <w:p>
            <w:pPr>
              <w:ind w:left="100"/>
              <w:spacing w:after="0"/>
              <w:rPr>
                <w:sz w:val="20"/>
                <w:szCs w:val="20"/>
                <w:color w:val="auto"/>
              </w:rPr>
            </w:pPr>
            <w:r>
              <w:rPr>
                <w:rFonts w:ascii="Arial" w:cs="Arial" w:eastAsia="Arial" w:hAnsi="Arial"/>
                <w:sz w:val="20"/>
                <w:szCs w:val="20"/>
                <w:color w:val="auto"/>
              </w:rPr>
              <w:t>Services</w:t>
            </w:r>
          </w:p>
        </w:tc>
        <w:tc>
          <w:tcPr>
            <w:tcW w:w="1940" w:type="dxa"/>
            <w:vAlign w:val="bottom"/>
          </w:tcPr>
          <w:p>
            <w:pPr>
              <w:jc w:val="right"/>
              <w:ind w:right="322"/>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62"/>
        </w:trPr>
        <w:tc>
          <w:tcPr>
            <w:tcW w:w="16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1660" w:type="dxa"/>
            <w:vAlign w:val="bottom"/>
          </w:tcPr>
          <w:p>
            <w:pPr>
              <w:ind w:left="100"/>
              <w:spacing w:after="0"/>
              <w:rPr>
                <w:sz w:val="20"/>
                <w:szCs w:val="20"/>
                <w:color w:val="auto"/>
              </w:rPr>
            </w:pPr>
            <w:r>
              <w:rPr>
                <w:rFonts w:ascii="Arial" w:cs="Arial" w:eastAsia="Arial" w:hAnsi="Arial"/>
                <w:sz w:val="20"/>
                <w:szCs w:val="20"/>
                <w:b w:val="1"/>
                <w:bCs w:val="1"/>
                <w:color w:val="0033A0"/>
              </w:rPr>
              <w:t>TOTAL</w:t>
            </w:r>
          </w:p>
        </w:tc>
        <w:tc>
          <w:tcPr>
            <w:tcW w:w="1940" w:type="dxa"/>
            <w:vAlign w:val="bottom"/>
          </w:tcPr>
          <w:p>
            <w:pPr>
              <w:jc w:val="right"/>
              <w:ind w:right="222"/>
              <w:spacing w:after="0"/>
              <w:rPr>
                <w:sz w:val="20"/>
                <w:szCs w:val="20"/>
                <w:color w:val="auto"/>
              </w:rPr>
            </w:pPr>
            <w:r>
              <w:rPr>
                <w:rFonts w:ascii="Arial" w:cs="Arial" w:eastAsia="Arial" w:hAnsi="Arial"/>
                <w:sz w:val="20"/>
                <w:szCs w:val="20"/>
                <w:b w:val="1"/>
                <w:bCs w:val="1"/>
                <w:color w:val="0033A0"/>
              </w:rPr>
              <w:t>30</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0033A0"/>
              </w:rPr>
              <w:t>35</w:t>
            </w:r>
          </w:p>
        </w:tc>
      </w:tr>
      <w:tr>
        <w:trPr>
          <w:trHeight w:val="62"/>
        </w:trPr>
        <w:tc>
          <w:tcPr>
            <w:tcW w:w="1660" w:type="dxa"/>
            <w:vAlign w:val="bottom"/>
            <w:tcBorders>
              <w:bottom w:val="single" w:sz="8" w:color="0033A0"/>
            </w:tcBorders>
          </w:tcPr>
          <w:p>
            <w:pPr>
              <w:spacing w:after="0"/>
              <w:rPr>
                <w:sz w:val="5"/>
                <w:szCs w:val="5"/>
                <w:color w:val="auto"/>
              </w:rPr>
            </w:pPr>
          </w:p>
        </w:tc>
        <w:tc>
          <w:tcPr>
            <w:tcW w:w="1940" w:type="dxa"/>
            <w:vAlign w:val="bottom"/>
            <w:tcBorders>
              <w:bottom w:val="single" w:sz="8" w:color="0033A0"/>
            </w:tcBorders>
          </w:tcPr>
          <w:p>
            <w:pPr>
              <w:spacing w:after="0"/>
              <w:rPr>
                <w:sz w:val="5"/>
                <w:szCs w:val="5"/>
                <w:color w:val="auto"/>
              </w:rPr>
            </w:pPr>
          </w:p>
        </w:tc>
        <w:tc>
          <w:tcPr>
            <w:tcW w:w="1640" w:type="dxa"/>
            <w:vAlign w:val="bottom"/>
            <w:tcBorders>
              <w:bottom w:val="single" w:sz="8" w:color="0033A0"/>
            </w:tcBorders>
          </w:tcPr>
          <w:p>
            <w:pPr>
              <w:spacing w:after="0"/>
              <w:rPr>
                <w:sz w:val="5"/>
                <w:szCs w:val="5"/>
                <w:color w:val="auto"/>
              </w:rPr>
            </w:pP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b w:val="1"/>
          <w:bCs w:val="1"/>
          <w:color w:val="0033A0"/>
        </w:rPr>
        <w:t xml:space="preserve">Audit-Related Fees </w:t>
      </w:r>
      <w:r>
        <w:rPr>
          <w:rFonts w:ascii="Arial" w:cs="Arial" w:eastAsia="Arial" w:hAnsi="Arial"/>
          <w:sz w:val="20"/>
          <w:szCs w:val="20"/>
          <w:color w:val="000000"/>
        </w:rPr>
        <w:t>– Includes fees for assurance and</w:t>
      </w:r>
      <w:r>
        <w:rPr>
          <w:rFonts w:ascii="Arial" w:cs="Arial" w:eastAsia="Arial" w:hAnsi="Arial"/>
          <w:sz w:val="20"/>
          <w:szCs w:val="20"/>
          <w:b w:val="1"/>
          <w:bCs w:val="1"/>
          <w:color w:val="0033A0"/>
        </w:rPr>
        <w:t xml:space="preserve"> </w:t>
      </w:r>
      <w:r>
        <w:rPr>
          <w:rFonts w:ascii="Arial" w:cs="Arial" w:eastAsia="Arial" w:hAnsi="Arial"/>
          <w:sz w:val="20"/>
          <w:szCs w:val="20"/>
          <w:color w:val="000000"/>
        </w:rPr>
        <w:t>related services that are traditionally performed by the independent registered public accounting firm. More specifically, these services include employee benefit plan audits, comfort letters in connection with funding transactions, other attestation services, and consultation concerning financial accounting and reporting standards.</w:t>
      </w:r>
    </w:p>
    <w:p>
      <w:pPr>
        <w:spacing w:after="0" w:line="102"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b w:val="1"/>
          <w:bCs w:val="1"/>
          <w:color w:val="0033A0"/>
        </w:rPr>
        <w:t xml:space="preserve">Tax Fees </w:t>
      </w:r>
      <w:r>
        <w:rPr>
          <w:rFonts w:ascii="Arial" w:cs="Arial" w:eastAsia="Arial" w:hAnsi="Arial"/>
          <w:sz w:val="20"/>
          <w:szCs w:val="20"/>
          <w:color w:val="000000"/>
        </w:rPr>
        <w:t>– Includes fees for tax compliance, tax planning,</w:t>
      </w:r>
      <w:r>
        <w:rPr>
          <w:rFonts w:ascii="Arial" w:cs="Arial" w:eastAsia="Arial" w:hAnsi="Arial"/>
          <w:sz w:val="20"/>
          <w:szCs w:val="20"/>
          <w:b w:val="1"/>
          <w:bCs w:val="1"/>
          <w:color w:val="0033A0"/>
        </w:rPr>
        <w:t xml:space="preserve"> </w:t>
      </w:r>
      <w:r>
        <w:rPr>
          <w:rFonts w:ascii="Arial" w:cs="Arial" w:eastAsia="Arial" w:hAnsi="Arial"/>
          <w:sz w:val="20"/>
          <w:szCs w:val="20"/>
          <w:color w:val="000000"/>
        </w:rPr>
        <w:t>and tax advice. Tax compliance involves preparation of original and amended tax returns and claims for 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3"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b w:val="1"/>
          <w:bCs w:val="1"/>
          <w:color w:val="0033A0"/>
        </w:rPr>
        <w:t xml:space="preserve">All Other Fees </w:t>
      </w:r>
      <w:r>
        <w:rPr>
          <w:rFonts w:ascii="Arial" w:cs="Arial" w:eastAsia="Arial" w:hAnsi="Arial"/>
          <w:sz w:val="20"/>
          <w:szCs w:val="20"/>
          <w:color w:val="000000"/>
        </w:rPr>
        <w:t>– Includes fees for services that are not</w:t>
      </w:r>
      <w:r>
        <w:rPr>
          <w:rFonts w:ascii="Arial" w:cs="Arial" w:eastAsia="Arial" w:hAnsi="Arial"/>
          <w:sz w:val="20"/>
          <w:szCs w:val="20"/>
          <w:b w:val="1"/>
          <w:bCs w:val="1"/>
          <w:color w:val="0033A0"/>
        </w:rPr>
        <w:t xml:space="preserve"> </w:t>
      </w:r>
      <w:r>
        <w:rPr>
          <w:rFonts w:ascii="Arial" w:cs="Arial" w:eastAsia="Arial" w:hAnsi="Arial"/>
          <w:sz w:val="20"/>
          <w:szCs w:val="20"/>
          <w:color w:val="000000"/>
        </w:rPr>
        <w:t>contained in the above categories and consists of permissible advisory services.</w:t>
      </w:r>
    </w:p>
    <w:p>
      <w:pPr>
        <w:spacing w:after="0" w:line="503"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color w:val="0033A0"/>
        </w:rPr>
        <w:t xml:space="preserve">Audit Fees </w:t>
      </w:r>
      <w:r>
        <w:rPr>
          <w:rFonts w:ascii="Arial" w:cs="Arial" w:eastAsia="Arial" w:hAnsi="Arial"/>
          <w:sz w:val="20"/>
          <w:szCs w:val="20"/>
          <w:color w:val="000000"/>
        </w:rPr>
        <w:t>– Includes fees for the integrated audit of the</w:t>
      </w:r>
    </w:p>
    <w:p>
      <w:pPr>
        <w:ind w:left="160"/>
        <w:spacing w:after="0" w:line="231" w:lineRule="auto"/>
        <w:rPr>
          <w:sz w:val="20"/>
          <w:szCs w:val="20"/>
          <w:color w:val="auto"/>
        </w:rPr>
      </w:pPr>
      <w:r>
        <w:rPr>
          <w:rFonts w:ascii="Arial" w:cs="Arial" w:eastAsia="Arial" w:hAnsi="Arial"/>
          <w:sz w:val="20"/>
          <w:szCs w:val="20"/>
          <w:color w:val="auto"/>
        </w:rPr>
        <w:t>Company’s annual consolidated financial statements and</w:t>
      </w:r>
    </w:p>
    <w:p>
      <w:pPr>
        <w:ind w:left="160"/>
        <w:spacing w:after="0" w:line="223" w:lineRule="auto"/>
        <w:rPr>
          <w:sz w:val="20"/>
          <w:szCs w:val="20"/>
          <w:color w:val="auto"/>
        </w:rPr>
      </w:pPr>
      <w:r>
        <w:rPr>
          <w:rFonts w:ascii="Arial" w:cs="Arial" w:eastAsia="Arial" w:hAnsi="Arial"/>
          <w:sz w:val="20"/>
          <w:szCs w:val="20"/>
          <w:color w:val="auto"/>
        </w:rPr>
        <w:t>attestation of the effectiveness of the Company’s internal</w:t>
      </w:r>
    </w:p>
    <w:p>
      <w:pPr>
        <w:ind w:left="160"/>
        <w:spacing w:after="0" w:line="224" w:lineRule="auto"/>
        <w:rPr>
          <w:sz w:val="20"/>
          <w:szCs w:val="20"/>
          <w:color w:val="auto"/>
        </w:rPr>
      </w:pPr>
      <w:r>
        <w:rPr>
          <w:rFonts w:ascii="Arial" w:cs="Arial" w:eastAsia="Arial" w:hAnsi="Arial"/>
          <w:sz w:val="20"/>
          <w:szCs w:val="20"/>
          <w:color w:val="auto"/>
        </w:rPr>
        <w:t>controls over financial reporting, including reviews of the</w:t>
      </w:r>
    </w:p>
    <w:p>
      <w:pPr>
        <w:ind w:left="160"/>
        <w:spacing w:after="0" w:line="223" w:lineRule="auto"/>
        <w:rPr>
          <w:sz w:val="20"/>
          <w:szCs w:val="20"/>
          <w:color w:val="auto"/>
        </w:rPr>
      </w:pPr>
      <w:r>
        <w:rPr>
          <w:rFonts w:ascii="Arial" w:cs="Arial" w:eastAsia="Arial" w:hAnsi="Arial"/>
          <w:sz w:val="20"/>
          <w:szCs w:val="20"/>
          <w:color w:val="auto"/>
        </w:rPr>
        <w:t>interim financial statements contained in the Company’s</w:t>
      </w:r>
    </w:p>
    <w:p>
      <w:pPr>
        <w:ind w:left="160"/>
        <w:spacing w:after="0" w:line="223" w:lineRule="auto"/>
        <w:rPr>
          <w:sz w:val="20"/>
          <w:szCs w:val="20"/>
          <w:color w:val="auto"/>
        </w:rPr>
      </w:pPr>
      <w:r>
        <w:rPr>
          <w:rFonts w:ascii="Arial" w:cs="Arial" w:eastAsia="Arial" w:hAnsi="Arial"/>
          <w:sz w:val="20"/>
          <w:szCs w:val="20"/>
          <w:color w:val="auto"/>
        </w:rPr>
        <w:t>Quarterly Reports on Form 10-Q and audits of statutory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financial statements.</w:t>
      </w: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Policy for Approval of Audit and Permitted Non-Audit Services</w:t>
      </w:r>
    </w:p>
    <w:p>
      <w:pPr>
        <w:sectPr>
          <w:pgSz w:w="11900" w:h="16838" w:orient="portrait"/>
          <w:cols w:equalWidth="0" w:num="1">
            <w:col w:w="11100"/>
          </w:cols>
          <w:pgMar w:left="320" w:top="456" w:right="479" w:bottom="1440" w:gutter="0" w:footer="0" w:header="0"/>
          <w:type w:val="continuous"/>
        </w:sectPr>
      </w:pP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9"/>
          <w:szCs w:val="19"/>
          <w:color w:val="auto"/>
        </w:rPr>
        <w:t>The services performed by EY in 2019 were preapproved in accordance with the preapproval policy and procedures established by the Audit Committee. This policy requires that prior to the provision of services by the auditor, the Audit Committee will be presented, for consideration, with a description of the types of Audit-Related, Tax, and All Other Services expected to be performed by the auditor during the fiscal year, with amounts budgeted for each category (Audit-Related, Tax, and All Other Services). Any requests for such services for $1 million or more not contemplated and approved by the Audit Committee initially must thereafter be submitted to the Audit Committee for specific preapproval. Requests for services less than $1 million individually can be approved by management based on the amounts approved for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793865" cy="1016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Management must report actual spending for each category to the full Audit Committee periodically throughout the year.</w:t>
      </w:r>
    </w:p>
    <w:p>
      <w:pPr>
        <w:spacing w:after="0" w:line="113" w:lineRule="exact"/>
        <w:rPr>
          <w:sz w:val="20"/>
          <w:szCs w:val="20"/>
          <w:color w:val="auto"/>
        </w:rPr>
      </w:pPr>
    </w:p>
    <w:p>
      <w:pPr>
        <w:jc w:val="both"/>
        <w:ind w:right="20"/>
        <w:spacing w:after="0" w:line="226" w:lineRule="auto"/>
        <w:rPr>
          <w:sz w:val="20"/>
          <w:szCs w:val="20"/>
          <w:color w:val="auto"/>
        </w:rPr>
      </w:pPr>
      <w:r>
        <w:rPr>
          <w:rFonts w:ascii="Arial" w:cs="Arial" w:eastAsia="Arial" w:hAnsi="Arial"/>
          <w:sz w:val="20"/>
          <w:szCs w:val="20"/>
          <w:color w:val="auto"/>
        </w:rPr>
        <w:t>These services are actively monitored (both spending and work content) by the Audit Committee to maintain the appropriate objectivity and independence in EY’s core work, which is the audit of the Company’s consolidated financial statements and internal controls. The Audit Committee determined that all services provided by EY in 2019 were compatible with maintaining the independence of EY.</w:t>
      </w:r>
    </w:p>
    <w:p>
      <w:pPr>
        <w:spacing w:after="0" w:line="1345"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76"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79</w:t>
      </w:r>
    </w:p>
    <w:p>
      <w:pPr>
        <w:sectPr>
          <w:pgSz w:w="11900" w:h="16838" w:orient="portrait"/>
          <w:cols w:equalWidth="0" w:num="1">
            <w:col w:w="11100"/>
          </w:cols>
          <w:pgMar w:left="320" w:top="456" w:right="47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left="2680" w:right="1140" w:hanging="2513"/>
        <w:spacing w:after="0" w:line="261" w:lineRule="auto"/>
        <w:rPr>
          <w:sz w:val="20"/>
          <w:szCs w:val="20"/>
          <w:color w:val="auto"/>
        </w:rPr>
      </w:pPr>
      <w:r>
        <w:rPr>
          <w:rFonts w:ascii="Arial" w:cs="Arial" w:eastAsia="Arial" w:hAnsi="Arial"/>
          <w:sz w:val="37"/>
          <w:szCs w:val="37"/>
          <w:b w:val="1"/>
          <w:bCs w:val="1"/>
          <w:color w:val="00A1DF"/>
        </w:rPr>
        <w:t xml:space="preserve">ITEM NO. 5 </w:t>
      </w:r>
      <w:r>
        <w:rPr>
          <w:rFonts w:ascii="Arial" w:cs="Arial" w:eastAsia="Arial" w:hAnsi="Arial"/>
          <w:sz w:val="37"/>
          <w:szCs w:val="37"/>
          <w:color w:val="0033A0"/>
        </w:rPr>
        <w:t>– APPROVAL OF THE GENERAL MOTORS</w:t>
      </w:r>
      <w:r>
        <w:rPr>
          <w:rFonts w:ascii="Arial" w:cs="Arial" w:eastAsia="Arial" w:hAnsi="Arial"/>
          <w:sz w:val="37"/>
          <w:szCs w:val="37"/>
          <w:b w:val="1"/>
          <w:bCs w:val="1"/>
          <w:color w:val="00A1DF"/>
        </w:rPr>
        <w:t xml:space="preserve"> </w:t>
      </w:r>
      <w:r>
        <w:rPr>
          <w:rFonts w:ascii="Arial" w:cs="Arial" w:eastAsia="Arial" w:hAnsi="Arial"/>
          <w:sz w:val="37"/>
          <w:szCs w:val="37"/>
          <w:color w:val="0033A0"/>
        </w:rPr>
        <w:t>COMPANY 2020 LONG-TERM INCENTIVE PLAN</w:t>
      </w:r>
    </w:p>
    <w:p>
      <w:pPr>
        <w:spacing w:after="0" w:line="157"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The Board of Directors recommends shareholders vote FOR the approval of the 2020 Long-Term Incentive Plan (the “2020 LTIP”), which will allow for equity awards to support our performance-based compensation programs. Long-term, equity-based compensation is a critical component of our executive compensation structure that allows the Company to continue to attract, motivate, and retain the critical talent necessary to deliver long-term results to our shareholders as the industry continues to evolve. The terms of the 2020 LTIP are substantially similar to the terms of the 2017 Long-Term Incentive Plan (the “2017 LTIP”), which was approved by 96.3% of our shareholders who voted on the matter.</w:t>
      </w:r>
    </w:p>
    <w:p>
      <w:pPr>
        <w:spacing w:after="0" w:line="126"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For the 2020 LTIP, we are seeking approval of 50,000,000 shares of common stock, par value $0.01 per share, to provide equity-based compensation as approved by the Compensation Committee, which is comprised of all independent directors. In determining the number of shares requested, the Company took several factors into consideration, such as market trends, feedback from investors, the compensation levels we anticipate in the future, the types of awards that may be granted under the 2020 LTIP, and the potential dilution. As of the record date, the closing price of our common stock on the NYSE was $22.48 per share.</w:t>
      </w:r>
    </w:p>
    <w:p>
      <w:pPr>
        <w:spacing w:after="0" w:line="126"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Upon approval, the 2020 LTIP will apply to new awards granted after the Annual Meeting. To the extent any shares remain available for issuance under our predecessor plans (i.e., the 2014 Long-Term Incentive Plan, the 2016 Equity Incentive Plan, and/or the 2017 LTIP), such shares will only be used to settle outstanding awards that were previously granted under such plans prior to the Annual Meeting. No new awards will be granted under any predecessor plans upon approval of the 2020 LTIP. However, if the 2020 LTIP is not approved by our shareholders, the 2017 LTIP will remain in effect in accordance with its terms. We expect the requested shares under the 2020 LTIP to be sufficient for a period of two to three years, with an anticipated annual burn rate of approximately 1%, and we plan to seek shareholder approval of equity plans on a regular basis in the future to confirm shareholders continue to support the terms of our equity compensation programs. We intend to file with the SEC a registration statement on Form S-8 covering the shares issuable under the 2020 LTIP.</w:t>
      </w:r>
    </w:p>
    <w:p>
      <w:pPr>
        <w:spacing w:after="0" w:line="325" w:lineRule="exact"/>
        <w:rPr>
          <w:sz w:val="20"/>
          <w:szCs w:val="20"/>
          <w:color w:val="auto"/>
        </w:rPr>
      </w:pPr>
    </w:p>
    <w:p>
      <w:pPr>
        <w:ind w:left="700" w:hanging="533"/>
        <w:spacing w:after="0"/>
        <w:tabs>
          <w:tab w:leader="none" w:pos="700" w:val="left"/>
        </w:tabs>
        <w:numPr>
          <w:ilvl w:val="0"/>
          <w:numId w:val="124"/>
        </w:numPr>
        <w:rPr>
          <w:rFonts w:ascii="Arial" w:cs="Arial" w:eastAsia="Arial" w:hAnsi="Arial"/>
          <w:sz w:val="25"/>
          <w:szCs w:val="25"/>
          <w:color w:val="0033A0"/>
        </w:rPr>
      </w:pPr>
      <w:r>
        <w:rPr>
          <w:rFonts w:ascii="Arial" w:cs="Arial" w:eastAsia="Arial" w:hAnsi="Arial"/>
          <w:sz w:val="25"/>
          <w:szCs w:val="25"/>
          <w:color w:val="auto"/>
        </w:rPr>
        <w:t>2020 LTIP – Key Facts and Features</w:t>
      </w:r>
    </w:p>
    <w:p>
      <w:pPr>
        <w:spacing w:after="0" w:line="135"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The 2020 LTIP will allow the Compensation Committee to continue to approve equity awards to support our performance-based compensation programs and align the long-term interests of our executives and shareholders.</w:t>
      </w:r>
    </w:p>
    <w:p>
      <w:pPr>
        <w:spacing w:after="0" w:line="127" w:lineRule="exact"/>
        <w:rPr>
          <w:sz w:val="20"/>
          <w:szCs w:val="20"/>
          <w:color w:val="auto"/>
        </w:rPr>
      </w:pPr>
    </w:p>
    <w:p>
      <w:pPr>
        <w:jc w:val="both"/>
        <w:ind w:left="800" w:hanging="312"/>
        <w:spacing w:after="0" w:line="230" w:lineRule="auto"/>
        <w:tabs>
          <w:tab w:leader="none" w:pos="800" w:val="left"/>
        </w:tabs>
        <w:numPr>
          <w:ilvl w:val="0"/>
          <w:numId w:val="125"/>
        </w:numPr>
        <w:rPr>
          <w:rFonts w:ascii="Arial" w:cs="Arial" w:eastAsia="Arial" w:hAnsi="Arial"/>
          <w:sz w:val="20"/>
          <w:szCs w:val="20"/>
          <w:color w:val="00A1DF"/>
        </w:rPr>
      </w:pPr>
      <w:r>
        <w:rPr>
          <w:rFonts w:ascii="Arial" w:cs="Arial" w:eastAsia="Arial" w:hAnsi="Arial"/>
          <w:sz w:val="20"/>
          <w:szCs w:val="20"/>
          <w:color w:val="auto"/>
        </w:rPr>
        <w:t>We are seeking shareholder approval to authorize 50,000,000 shares for issuance under the 2020 LTIP representing 3.5% of the outstanding shares of common stock as of the record date, which may be granted in the form of stock options, SARs, restricted stock, RSUs, performance awards, or other stock-based awards.</w:t>
      </w:r>
    </w:p>
    <w:p>
      <w:pPr>
        <w:spacing w:after="0" w:line="127" w:lineRule="exact"/>
        <w:rPr>
          <w:rFonts w:ascii="Arial" w:cs="Arial" w:eastAsia="Arial" w:hAnsi="Arial"/>
          <w:sz w:val="20"/>
          <w:szCs w:val="20"/>
          <w:color w:val="00A1DF"/>
        </w:rPr>
      </w:pPr>
    </w:p>
    <w:p>
      <w:pPr>
        <w:ind w:left="800" w:hanging="312"/>
        <w:spacing w:after="0"/>
        <w:tabs>
          <w:tab w:leader="none" w:pos="800" w:val="left"/>
        </w:tabs>
        <w:numPr>
          <w:ilvl w:val="0"/>
          <w:numId w:val="125"/>
        </w:numPr>
        <w:rPr>
          <w:rFonts w:ascii="Arial" w:cs="Arial" w:eastAsia="Arial" w:hAnsi="Arial"/>
          <w:sz w:val="20"/>
          <w:szCs w:val="20"/>
          <w:color w:val="00A1DF"/>
        </w:rPr>
      </w:pPr>
      <w:r>
        <w:rPr>
          <w:rFonts w:ascii="Arial" w:cs="Arial" w:eastAsia="Arial" w:hAnsi="Arial"/>
          <w:sz w:val="20"/>
          <w:szCs w:val="20"/>
          <w:color w:val="auto"/>
        </w:rPr>
        <w:t>Under the 2020 LTIP, our annual burn rate is anticipated to be approximately 1%.</w:t>
      </w:r>
    </w:p>
    <w:p>
      <w:pPr>
        <w:spacing w:after="0" w:line="144" w:lineRule="exact"/>
        <w:rPr>
          <w:rFonts w:ascii="Arial" w:cs="Arial" w:eastAsia="Arial" w:hAnsi="Arial"/>
          <w:sz w:val="20"/>
          <w:szCs w:val="20"/>
          <w:color w:val="00A1DF"/>
        </w:rPr>
      </w:pPr>
    </w:p>
    <w:p>
      <w:pPr>
        <w:jc w:val="both"/>
        <w:ind w:left="800" w:hanging="312"/>
        <w:spacing w:after="0" w:line="230" w:lineRule="auto"/>
        <w:tabs>
          <w:tab w:leader="none" w:pos="800" w:val="left"/>
        </w:tabs>
        <w:numPr>
          <w:ilvl w:val="0"/>
          <w:numId w:val="125"/>
        </w:numPr>
        <w:rPr>
          <w:rFonts w:ascii="Arial" w:cs="Arial" w:eastAsia="Arial" w:hAnsi="Arial"/>
          <w:sz w:val="20"/>
          <w:szCs w:val="20"/>
          <w:color w:val="00A1DF"/>
        </w:rPr>
      </w:pPr>
      <w:r>
        <w:rPr>
          <w:rFonts w:ascii="Arial" w:cs="Arial" w:eastAsia="Arial" w:hAnsi="Arial"/>
          <w:sz w:val="20"/>
          <w:szCs w:val="20"/>
          <w:color w:val="auto"/>
        </w:rPr>
        <w:t>All employees (approximately 164,000) are eligible to receive awards under the 2020 LTIP, and we intend to grant equity to approximately 1,100 employees (which includes our 10 executive officers) representing less than 1% of our global workforce.</w:t>
      </w:r>
    </w:p>
    <w:p>
      <w:pPr>
        <w:spacing w:after="0" w:line="127" w:lineRule="exact"/>
        <w:rPr>
          <w:rFonts w:ascii="Arial" w:cs="Arial" w:eastAsia="Arial" w:hAnsi="Arial"/>
          <w:sz w:val="20"/>
          <w:szCs w:val="20"/>
          <w:color w:val="00A1DF"/>
        </w:rPr>
      </w:pPr>
    </w:p>
    <w:p>
      <w:pPr>
        <w:jc w:val="both"/>
        <w:ind w:left="800" w:hanging="312"/>
        <w:spacing w:after="0" w:line="227" w:lineRule="auto"/>
        <w:tabs>
          <w:tab w:leader="none" w:pos="800" w:val="left"/>
        </w:tabs>
        <w:numPr>
          <w:ilvl w:val="0"/>
          <w:numId w:val="125"/>
        </w:numPr>
        <w:rPr>
          <w:rFonts w:ascii="Arial" w:cs="Arial" w:eastAsia="Arial" w:hAnsi="Arial"/>
          <w:sz w:val="20"/>
          <w:szCs w:val="20"/>
          <w:color w:val="00A1DF"/>
        </w:rPr>
      </w:pPr>
      <w:r>
        <w:rPr>
          <w:rFonts w:ascii="Arial" w:cs="Arial" w:eastAsia="Arial" w:hAnsi="Arial"/>
          <w:sz w:val="20"/>
          <w:szCs w:val="20"/>
          <w:color w:val="auto"/>
        </w:rPr>
        <w:t>Ten non-employee directors are eligible to receive awards under the 2020 LTIP, subject to an annual limit of $750,000 per director for awards granted plus cash fees paid for service as a member of the Board. Currently, such awards are not contemplated under the non-employee director compensation program, but we have the flexibility to update the program as appropriate. The 2020 LTIP also allows awards to be granted to certain Company consultants and advisors, although none have been identified.</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80 </w:t>
      </w:r>
      <w:r>
        <w:rPr>
          <w:sz w:val="1"/>
          <w:szCs w:val="1"/>
          <w:color w:val="auto"/>
        </w:rPr>
        <w:drawing>
          <wp:inline distT="0" distB="0" distL="0" distR="0">
            <wp:extent cx="6793865" cy="10160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right="20"/>
        <w:spacing w:after="0" w:line="234" w:lineRule="auto"/>
        <w:rPr>
          <w:sz w:val="20"/>
          <w:szCs w:val="20"/>
          <w:color w:val="auto"/>
        </w:rPr>
      </w:pPr>
      <w:r>
        <w:rPr>
          <w:rFonts w:ascii="Arial" w:cs="Arial" w:eastAsia="Arial" w:hAnsi="Arial"/>
          <w:sz w:val="20"/>
          <w:szCs w:val="20"/>
          <w:color w:val="auto"/>
        </w:rPr>
        <w:t>The 2020 LTIP contains key features that protect shareholders’ interests and align to our compensation principles and practices discussed in the CD&amp;A:</w:t>
      </w:r>
    </w:p>
    <w:p>
      <w:pPr>
        <w:spacing w:after="0" w:line="263" w:lineRule="exact"/>
        <w:rPr>
          <w:sz w:val="20"/>
          <w:szCs w:val="20"/>
          <w:color w:val="auto"/>
        </w:rPr>
      </w:pPr>
    </w:p>
    <w:p>
      <w:pPr>
        <w:jc w:val="both"/>
        <w:ind w:left="720" w:right="20" w:hanging="298"/>
        <w:spacing w:after="0" w:line="239"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Minimum Vesting Periods </w:t>
      </w:r>
      <w:r>
        <w:rPr>
          <w:rFonts w:ascii="Arial" w:cs="Arial" w:eastAsia="Arial" w:hAnsi="Arial"/>
          <w:sz w:val="20"/>
          <w:szCs w:val="20"/>
          <w:color w:val="auto"/>
        </w:rPr>
        <w:t>– Generally, no stock options or SARs will vest prior to the first anniversary of the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date. Restricted stock, RSUs, or performance awards will generally vest over a period of not less than three years from the vesting commencement date.</w:t>
      </w:r>
    </w:p>
    <w:p>
      <w:pPr>
        <w:spacing w:after="0" w:line="21" w:lineRule="exact"/>
        <w:rPr>
          <w:rFonts w:ascii="MS PGothic" w:cs="MS PGothic" w:eastAsia="MS PGothic" w:hAnsi="MS PGothic"/>
          <w:sz w:val="20"/>
          <w:szCs w:val="20"/>
          <w:color w:val="00A1DF"/>
        </w:rPr>
      </w:pPr>
    </w:p>
    <w:p>
      <w:pPr>
        <w:jc w:val="both"/>
        <w:ind w:left="720" w:right="20" w:hanging="298"/>
        <w:spacing w:after="0" w:line="239"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Double-Trigger Change in Control </w:t>
      </w:r>
      <w:r>
        <w:rPr>
          <w:rFonts w:ascii="Arial" w:cs="Arial" w:eastAsia="Arial" w:hAnsi="Arial"/>
          <w:sz w:val="20"/>
          <w:szCs w:val="20"/>
          <w:color w:val="auto"/>
        </w:rPr>
        <w:t>– Awards that are continued or converted into similar awards of the successor</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not accelerate vesting based solely on a change in control, and gross-ups are not provided to cover personal income taxes or excise taxes.</w:t>
      </w:r>
    </w:p>
    <w:p>
      <w:pPr>
        <w:spacing w:after="0" w:line="21" w:lineRule="exact"/>
        <w:rPr>
          <w:rFonts w:ascii="MS PGothic" w:cs="MS PGothic" w:eastAsia="MS PGothic" w:hAnsi="MS PGothic"/>
          <w:sz w:val="20"/>
          <w:szCs w:val="20"/>
          <w:color w:val="00A1DF"/>
        </w:rPr>
      </w:pPr>
    </w:p>
    <w:p>
      <w:pPr>
        <w:jc w:val="both"/>
        <w:ind w:left="720" w:right="20" w:hanging="298"/>
        <w:spacing w:after="0" w:line="239"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No Payment of Dividend Equivalents until Awards are Earned </w:t>
      </w:r>
      <w:r>
        <w:rPr>
          <w:rFonts w:ascii="Arial" w:cs="Arial" w:eastAsia="Arial" w:hAnsi="Arial"/>
          <w:sz w:val="20"/>
          <w:szCs w:val="20"/>
          <w:color w:val="auto"/>
        </w:rPr>
        <w:t>– Restricted stock, RSUs, performance awards,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stock-based awards will only receive dividend equivalent payments once awards are earned and settled. Stock options and SARs are generally not eligible for dividend equivalents.</w:t>
      </w:r>
    </w:p>
    <w:p>
      <w:pPr>
        <w:spacing w:after="0" w:line="21" w:lineRule="exact"/>
        <w:rPr>
          <w:rFonts w:ascii="MS PGothic" w:cs="MS PGothic" w:eastAsia="MS PGothic" w:hAnsi="MS PGothic"/>
          <w:sz w:val="20"/>
          <w:szCs w:val="20"/>
          <w:color w:val="00A1DF"/>
        </w:rPr>
      </w:pPr>
    </w:p>
    <w:p>
      <w:pPr>
        <w:ind w:left="720" w:right="20" w:hanging="298"/>
        <w:spacing w:after="0" w:line="251"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No “Evergreen” Provisions </w:t>
      </w:r>
      <w:r>
        <w:rPr>
          <w:rFonts w:ascii="Arial" w:cs="Arial" w:eastAsia="Arial" w:hAnsi="Arial"/>
          <w:sz w:val="20"/>
          <w:szCs w:val="20"/>
          <w:color w:val="auto"/>
        </w:rPr>
        <w:t>– The 2020 LTIP does not allow for automatic increases in the number of shares available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w:t>
      </w:r>
    </w:p>
    <w:p>
      <w:pPr>
        <w:spacing w:after="0" w:line="13" w:lineRule="exact"/>
        <w:rPr>
          <w:rFonts w:ascii="MS PGothic" w:cs="MS PGothic" w:eastAsia="MS PGothic" w:hAnsi="MS PGothic"/>
          <w:sz w:val="20"/>
          <w:szCs w:val="20"/>
          <w:color w:val="00A1DF"/>
        </w:rPr>
      </w:pPr>
    </w:p>
    <w:p>
      <w:pPr>
        <w:jc w:val="both"/>
        <w:ind w:left="720" w:right="20" w:hanging="298"/>
        <w:spacing w:after="0" w:line="235"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No Repricing of Stock Options or SARs </w:t>
      </w:r>
      <w:r>
        <w:rPr>
          <w:rFonts w:ascii="Arial" w:cs="Arial" w:eastAsia="Arial" w:hAnsi="Arial"/>
          <w:sz w:val="20"/>
          <w:szCs w:val="20"/>
          <w:color w:val="auto"/>
        </w:rPr>
        <w:t>– The repricing of stock options or SARs, or any other action that has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 of reducing the exercise price of stock options or SARs, including voluntary surrender and re-grant, or the exchange of underwater stock options or SARs for cash or any other security, is prohibited without shareholder approval (other than adjustments in connection with a corporate transaction or restructuring).</w:t>
      </w:r>
    </w:p>
    <w:p>
      <w:pPr>
        <w:spacing w:after="0" w:line="22" w:lineRule="exact"/>
        <w:rPr>
          <w:rFonts w:ascii="MS PGothic" w:cs="MS PGothic" w:eastAsia="MS PGothic" w:hAnsi="MS PGothic"/>
          <w:sz w:val="20"/>
          <w:szCs w:val="20"/>
          <w:color w:val="00A1DF"/>
        </w:rPr>
      </w:pPr>
    </w:p>
    <w:p>
      <w:pPr>
        <w:ind w:left="720" w:right="20" w:hanging="298"/>
        <w:spacing w:after="0" w:line="251"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No Discounted Stock Options or SARs </w:t>
      </w:r>
      <w:r>
        <w:rPr>
          <w:rFonts w:ascii="Arial" w:cs="Arial" w:eastAsia="Arial" w:hAnsi="Arial"/>
          <w:sz w:val="20"/>
          <w:szCs w:val="20"/>
          <w:color w:val="auto"/>
        </w:rPr>
        <w:t>– The 2020 LTIP prohibits granting stock options or SARs with an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price less than the fair market value of GM common stock on the date of grant.</w:t>
      </w:r>
    </w:p>
    <w:p>
      <w:pPr>
        <w:spacing w:after="0" w:line="13" w:lineRule="exact"/>
        <w:rPr>
          <w:rFonts w:ascii="MS PGothic" w:cs="MS PGothic" w:eastAsia="MS PGothic" w:hAnsi="MS PGothic"/>
          <w:sz w:val="20"/>
          <w:szCs w:val="20"/>
          <w:color w:val="00A1DF"/>
        </w:rPr>
      </w:pPr>
    </w:p>
    <w:p>
      <w:pPr>
        <w:jc w:val="both"/>
        <w:ind w:left="720" w:right="20" w:hanging="298"/>
        <w:spacing w:after="0" w:line="239"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No Recycling of Shares </w:t>
      </w:r>
      <w:r>
        <w:rPr>
          <w:rFonts w:ascii="Arial" w:cs="Arial" w:eastAsia="Arial" w:hAnsi="Arial"/>
          <w:sz w:val="20"/>
          <w:szCs w:val="20"/>
          <w:color w:val="auto"/>
        </w:rPr>
        <w:t>– Shares surrendered or withheld in payment for any grant, purchase, exercise price of an</w:t>
      </w:r>
      <w:r>
        <w:rPr>
          <w:rFonts w:ascii="Arial" w:cs="Arial" w:eastAsia="Arial" w:hAnsi="Arial"/>
          <w:sz w:val="20"/>
          <w:szCs w:val="20"/>
          <w:b w:val="1"/>
          <w:bCs w:val="1"/>
          <w:color w:val="auto"/>
        </w:rPr>
        <w:t xml:space="preserve"> </w:t>
      </w:r>
      <w:r>
        <w:rPr>
          <w:rFonts w:ascii="Arial" w:cs="Arial" w:eastAsia="Arial" w:hAnsi="Arial"/>
          <w:sz w:val="20"/>
          <w:szCs w:val="20"/>
          <w:color w:val="auto"/>
        </w:rPr>
        <w:t>award or taxes related to an award, and shares repurchased in the open market using stock option proceeds will not again become available for grant.</w:t>
      </w:r>
    </w:p>
    <w:p>
      <w:pPr>
        <w:spacing w:after="0" w:line="21" w:lineRule="exact"/>
        <w:rPr>
          <w:rFonts w:ascii="MS PGothic" w:cs="MS PGothic" w:eastAsia="MS PGothic" w:hAnsi="MS PGothic"/>
          <w:sz w:val="20"/>
          <w:szCs w:val="20"/>
          <w:color w:val="00A1DF"/>
        </w:rPr>
      </w:pPr>
    </w:p>
    <w:p>
      <w:pPr>
        <w:ind w:left="720" w:right="40" w:hanging="298"/>
        <w:spacing w:after="0" w:line="254" w:lineRule="auto"/>
        <w:tabs>
          <w:tab w:leader="none" w:pos="720" w:val="left"/>
        </w:tabs>
        <w:numPr>
          <w:ilvl w:val="0"/>
          <w:numId w:val="126"/>
        </w:numPr>
        <w:rPr>
          <w:rFonts w:ascii="MS PGothic" w:cs="MS PGothic" w:eastAsia="MS PGothic" w:hAnsi="MS PGothic"/>
          <w:sz w:val="20"/>
          <w:szCs w:val="20"/>
          <w:color w:val="00A1DF"/>
        </w:rPr>
      </w:pPr>
      <w:r>
        <w:rPr>
          <w:rFonts w:ascii="Arial" w:cs="Arial" w:eastAsia="Arial" w:hAnsi="Arial"/>
          <w:sz w:val="20"/>
          <w:szCs w:val="20"/>
          <w:b w:val="1"/>
          <w:bCs w:val="1"/>
          <w:color w:val="auto"/>
        </w:rPr>
        <w:t xml:space="preserve">Clawback/Recoupment </w:t>
      </w:r>
      <w:r>
        <w:rPr>
          <w:rFonts w:ascii="Arial" w:cs="Arial" w:eastAsia="Arial" w:hAnsi="Arial"/>
          <w:sz w:val="20"/>
          <w:szCs w:val="20"/>
          <w:color w:val="auto"/>
        </w:rPr>
        <w:t>– Any awards granted under the 2020 LTIP are subject to the Company’s clawback and</w:t>
      </w:r>
      <w:r>
        <w:rPr>
          <w:rFonts w:ascii="Arial" w:cs="Arial" w:eastAsia="Arial" w:hAnsi="Arial"/>
          <w:sz w:val="20"/>
          <w:szCs w:val="20"/>
          <w:b w:val="1"/>
          <w:bCs w:val="1"/>
          <w:color w:val="auto"/>
        </w:rPr>
        <w:t xml:space="preserve"> </w:t>
      </w:r>
      <w:r>
        <w:rPr>
          <w:rFonts w:ascii="Arial" w:cs="Arial" w:eastAsia="Arial" w:hAnsi="Arial"/>
          <w:sz w:val="20"/>
          <w:szCs w:val="20"/>
          <w:color w:val="auto"/>
        </w:rPr>
        <w:t>cancellation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793865" cy="1016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81</w:t>
      </w:r>
    </w:p>
    <w:p>
      <w:pPr>
        <w:sectPr>
          <w:pgSz w:w="11900" w:h="16838" w:orient="portrait"/>
          <w:cols w:equalWidth="0" w:num="1">
            <w:col w:w="11100"/>
          </w:cols>
          <w:pgMar w:left="320" w:top="456"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27"/>
        </w:numPr>
        <w:rPr>
          <w:rFonts w:ascii="Arial" w:cs="Arial" w:eastAsia="Arial" w:hAnsi="Arial"/>
          <w:sz w:val="25"/>
          <w:szCs w:val="25"/>
          <w:color w:val="0033A0"/>
        </w:rPr>
      </w:pPr>
      <w:r>
        <w:rPr>
          <w:rFonts w:ascii="Arial" w:cs="Arial" w:eastAsia="Arial" w:hAnsi="Arial"/>
          <w:sz w:val="25"/>
          <w:szCs w:val="25"/>
          <w:color w:val="auto"/>
        </w:rPr>
        <w:t>2020 LTIP – Potential Equity Dilution and Historical Annual Share Usage</w:t>
      </w:r>
    </w:p>
    <w:p>
      <w:pPr>
        <w:spacing w:after="0" w:line="149" w:lineRule="exact"/>
        <w:rPr>
          <w:sz w:val="20"/>
          <w:szCs w:val="20"/>
          <w:color w:val="auto"/>
        </w:rPr>
      </w:pPr>
    </w:p>
    <w:p>
      <w:pPr>
        <w:jc w:val="both"/>
        <w:ind w:left="160"/>
        <w:spacing w:after="0" w:line="228" w:lineRule="auto"/>
        <w:rPr>
          <w:sz w:val="20"/>
          <w:szCs w:val="20"/>
          <w:color w:val="auto"/>
        </w:rPr>
      </w:pPr>
      <w:r>
        <w:rPr>
          <w:rFonts w:ascii="Arial" w:cs="Arial" w:eastAsia="Arial" w:hAnsi="Arial"/>
          <w:sz w:val="20"/>
          <w:szCs w:val="20"/>
          <w:color w:val="auto"/>
        </w:rPr>
        <w:t>While equity-based awards are an important part of our performance-based compensation programs, we are mindful of our responsibility to our shareholders to exercise judgment in granting these awards. The table below provides a summary of the outstanding awards and shares available under all the Company’s existing equity incentive plans as of December 31, 2019, and March 31, 2020.</w:t>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6600" w:type="dxa"/>
            <w:vAlign w:val="bottom"/>
            <w:tcBorders>
              <w:top w:val="single" w:sz="8" w:color="00A1DF"/>
            </w:tcBorders>
          </w:tcPr>
          <w:p>
            <w:pPr>
              <w:spacing w:after="0"/>
              <w:rPr>
                <w:sz w:val="18"/>
                <w:szCs w:val="18"/>
                <w:color w:val="auto"/>
              </w:rPr>
            </w:pPr>
          </w:p>
        </w:tc>
        <w:tc>
          <w:tcPr>
            <w:tcW w:w="2680" w:type="dxa"/>
            <w:vAlign w:val="bottom"/>
            <w:tcBorders>
              <w:top w:val="single" w:sz="8" w:color="00A1DF"/>
            </w:tcBorders>
          </w:tcPr>
          <w:p>
            <w:pPr>
              <w:jc w:val="right"/>
              <w:ind w:right="482"/>
              <w:spacing w:after="0" w:line="213" w:lineRule="exact"/>
              <w:rPr>
                <w:sz w:val="20"/>
                <w:szCs w:val="20"/>
                <w:color w:val="auto"/>
              </w:rPr>
            </w:pPr>
            <w:r>
              <w:rPr>
                <w:rFonts w:ascii="Arial" w:cs="Arial" w:eastAsia="Arial" w:hAnsi="Arial"/>
                <w:sz w:val="20"/>
                <w:szCs w:val="20"/>
                <w:b w:val="1"/>
                <w:bCs w:val="1"/>
                <w:color w:val="00A1DF"/>
              </w:rPr>
              <w:t>As of</w:t>
            </w:r>
          </w:p>
        </w:tc>
        <w:tc>
          <w:tcPr>
            <w:tcW w:w="1640" w:type="dxa"/>
            <w:vAlign w:val="bottom"/>
            <w:tcBorders>
              <w:top w:val="single" w:sz="8" w:color="00A1DF"/>
            </w:tcBorders>
          </w:tcPr>
          <w:p>
            <w:pPr>
              <w:jc w:val="right"/>
              <w:ind w:right="162"/>
              <w:spacing w:after="0" w:line="213" w:lineRule="exact"/>
              <w:rPr>
                <w:sz w:val="20"/>
                <w:szCs w:val="20"/>
                <w:color w:val="auto"/>
              </w:rPr>
            </w:pPr>
            <w:r>
              <w:rPr>
                <w:rFonts w:ascii="Arial" w:cs="Arial" w:eastAsia="Arial" w:hAnsi="Arial"/>
                <w:sz w:val="20"/>
                <w:szCs w:val="20"/>
                <w:b w:val="1"/>
                <w:bCs w:val="1"/>
                <w:color w:val="00A1DF"/>
              </w:rPr>
              <w:t>As of</w:t>
            </w:r>
          </w:p>
        </w:tc>
      </w:tr>
      <w:tr>
        <w:trPr>
          <w:trHeight w:val="214"/>
        </w:trPr>
        <w:tc>
          <w:tcPr>
            <w:tcW w:w="6600" w:type="dxa"/>
            <w:vAlign w:val="bottom"/>
          </w:tcPr>
          <w:p>
            <w:pPr>
              <w:spacing w:after="0"/>
              <w:rPr>
                <w:sz w:val="18"/>
                <w:szCs w:val="18"/>
                <w:color w:val="auto"/>
              </w:rPr>
            </w:pPr>
          </w:p>
        </w:tc>
        <w:tc>
          <w:tcPr>
            <w:tcW w:w="2680" w:type="dxa"/>
            <w:vAlign w:val="bottom"/>
          </w:tcPr>
          <w:p>
            <w:pPr>
              <w:jc w:val="right"/>
              <w:ind w:right="482"/>
              <w:spacing w:after="0" w:line="214" w:lineRule="exact"/>
              <w:rPr>
                <w:sz w:val="20"/>
                <w:szCs w:val="20"/>
                <w:color w:val="auto"/>
              </w:rPr>
            </w:pPr>
            <w:r>
              <w:rPr>
                <w:rFonts w:ascii="Arial" w:cs="Arial" w:eastAsia="Arial" w:hAnsi="Arial"/>
                <w:sz w:val="20"/>
                <w:szCs w:val="20"/>
                <w:b w:val="1"/>
                <w:bCs w:val="1"/>
                <w:color w:val="00A1DF"/>
              </w:rPr>
              <w:t>December 31,</w:t>
            </w:r>
          </w:p>
        </w:tc>
        <w:tc>
          <w:tcPr>
            <w:tcW w:w="1640" w:type="dxa"/>
            <w:vAlign w:val="bottom"/>
          </w:tcPr>
          <w:p>
            <w:pPr>
              <w:jc w:val="right"/>
              <w:ind w:right="162"/>
              <w:spacing w:after="0" w:line="214" w:lineRule="exact"/>
              <w:rPr>
                <w:sz w:val="20"/>
                <w:szCs w:val="20"/>
                <w:color w:val="auto"/>
              </w:rPr>
            </w:pPr>
            <w:r>
              <w:rPr>
                <w:rFonts w:ascii="Arial" w:cs="Arial" w:eastAsia="Arial" w:hAnsi="Arial"/>
                <w:sz w:val="20"/>
                <w:szCs w:val="20"/>
                <w:b w:val="1"/>
                <w:bCs w:val="1"/>
                <w:color w:val="00A1DF"/>
              </w:rPr>
              <w:t>March 31,</w:t>
            </w:r>
          </w:p>
        </w:tc>
      </w:tr>
      <w:tr>
        <w:trPr>
          <w:trHeight w:val="259"/>
        </w:trPr>
        <w:tc>
          <w:tcPr>
            <w:tcW w:w="6600" w:type="dxa"/>
            <w:vAlign w:val="bottom"/>
          </w:tcPr>
          <w:p>
            <w:pPr>
              <w:spacing w:after="0"/>
              <w:rPr>
                <w:sz w:val="22"/>
                <w:szCs w:val="22"/>
                <w:color w:val="auto"/>
              </w:rPr>
            </w:pPr>
          </w:p>
        </w:tc>
        <w:tc>
          <w:tcPr>
            <w:tcW w:w="2680" w:type="dxa"/>
            <w:vAlign w:val="bottom"/>
          </w:tcPr>
          <w:p>
            <w:pPr>
              <w:jc w:val="right"/>
              <w:ind w:right="482"/>
              <w:spacing w:after="0"/>
              <w:rPr>
                <w:sz w:val="20"/>
                <w:szCs w:val="20"/>
                <w:color w:val="auto"/>
              </w:rPr>
            </w:pPr>
            <w:r>
              <w:rPr>
                <w:rFonts w:ascii="Arial" w:cs="Arial" w:eastAsia="Arial" w:hAnsi="Arial"/>
                <w:sz w:val="20"/>
                <w:szCs w:val="20"/>
                <w:b w:val="1"/>
                <w:bCs w:val="1"/>
                <w:color w:val="00A1DF"/>
              </w:rPr>
              <w:t>2019</w:t>
            </w:r>
          </w:p>
        </w:tc>
        <w:tc>
          <w:tcPr>
            <w:tcW w:w="1640" w:type="dxa"/>
            <w:vAlign w:val="bottom"/>
          </w:tcPr>
          <w:p>
            <w:pPr>
              <w:jc w:val="right"/>
              <w:ind w:right="162"/>
              <w:spacing w:after="0"/>
              <w:rPr>
                <w:sz w:val="20"/>
                <w:szCs w:val="20"/>
                <w:color w:val="auto"/>
              </w:rPr>
            </w:pPr>
            <w:r>
              <w:rPr>
                <w:rFonts w:ascii="Arial" w:cs="Arial" w:eastAsia="Arial" w:hAnsi="Arial"/>
                <w:sz w:val="20"/>
                <w:szCs w:val="20"/>
                <w:b w:val="1"/>
                <w:bCs w:val="1"/>
                <w:color w:val="00A1DF"/>
              </w:rPr>
              <w:t>2020</w:t>
            </w:r>
          </w:p>
        </w:tc>
      </w:tr>
      <w:tr>
        <w:trPr>
          <w:trHeight w:val="76"/>
        </w:trPr>
        <w:tc>
          <w:tcPr>
            <w:tcW w:w="6600" w:type="dxa"/>
            <w:vAlign w:val="bottom"/>
            <w:tcBorders>
              <w:bottom w:val="single" w:sz="8" w:color="00A1DF"/>
            </w:tcBorders>
          </w:tcPr>
          <w:p>
            <w:pPr>
              <w:spacing w:after="0"/>
              <w:rPr>
                <w:sz w:val="6"/>
                <w:szCs w:val="6"/>
                <w:color w:val="auto"/>
              </w:rPr>
            </w:pPr>
          </w:p>
        </w:tc>
        <w:tc>
          <w:tcPr>
            <w:tcW w:w="2680" w:type="dxa"/>
            <w:vAlign w:val="bottom"/>
            <w:tcBorders>
              <w:bottom w:val="single" w:sz="8" w:color="00A1DF"/>
            </w:tcBorders>
          </w:tcPr>
          <w:p>
            <w:pPr>
              <w:spacing w:after="0"/>
              <w:rPr>
                <w:sz w:val="6"/>
                <w:szCs w:val="6"/>
                <w:color w:val="auto"/>
              </w:rPr>
            </w:pPr>
          </w:p>
        </w:tc>
        <w:tc>
          <w:tcPr>
            <w:tcW w:w="1640" w:type="dxa"/>
            <w:vAlign w:val="bottom"/>
            <w:tcBorders>
              <w:bottom w:val="single" w:sz="8" w:color="00A1DF"/>
            </w:tcBorders>
          </w:tcPr>
          <w:p>
            <w:pPr>
              <w:spacing w:after="0"/>
              <w:rPr>
                <w:sz w:val="6"/>
                <w:szCs w:val="6"/>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Stock Options Outstanding under the Plans</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25,700,000</w:t>
            </w:r>
          </w:p>
        </w:tc>
        <w:tc>
          <w:tcPr>
            <w:tcW w:w="1640" w:type="dxa"/>
            <w:vAlign w:val="bottom"/>
          </w:tcPr>
          <w:p>
            <w:pPr>
              <w:jc w:val="right"/>
              <w:ind w:right="162"/>
              <w:spacing w:after="0"/>
              <w:rPr>
                <w:sz w:val="20"/>
                <w:szCs w:val="20"/>
                <w:color w:val="auto"/>
              </w:rPr>
            </w:pPr>
            <w:r>
              <w:rPr>
                <w:rFonts w:ascii="Arial" w:cs="Arial" w:eastAsia="Arial" w:hAnsi="Arial"/>
                <w:sz w:val="20"/>
                <w:szCs w:val="20"/>
                <w:color w:val="auto"/>
              </w:rPr>
              <w:t>31,500,000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320"/>
              <w:spacing w:after="0"/>
              <w:rPr>
                <w:sz w:val="20"/>
                <w:szCs w:val="20"/>
                <w:color w:val="auto"/>
              </w:rPr>
            </w:pPr>
            <w:r>
              <w:rPr>
                <w:rFonts w:ascii="Arial" w:cs="Arial" w:eastAsia="Arial" w:hAnsi="Arial"/>
                <w:sz w:val="20"/>
                <w:szCs w:val="20"/>
                <w:i w:val="1"/>
                <w:iCs w:val="1"/>
                <w:color w:val="auto"/>
              </w:rPr>
              <w:t>Vested and Unexercised</w:t>
            </w:r>
          </w:p>
        </w:tc>
        <w:tc>
          <w:tcPr>
            <w:tcW w:w="2680" w:type="dxa"/>
            <w:vAlign w:val="bottom"/>
          </w:tcPr>
          <w:p>
            <w:pPr>
              <w:jc w:val="right"/>
              <w:ind w:right="482"/>
              <w:spacing w:after="0"/>
              <w:rPr>
                <w:sz w:val="20"/>
                <w:szCs w:val="20"/>
                <w:color w:val="auto"/>
              </w:rPr>
            </w:pPr>
            <w:r>
              <w:rPr>
                <w:rFonts w:ascii="Arial" w:cs="Arial" w:eastAsia="Arial" w:hAnsi="Arial"/>
                <w:sz w:val="20"/>
                <w:szCs w:val="20"/>
                <w:i w:val="1"/>
                <w:iCs w:val="1"/>
                <w:color w:val="auto"/>
              </w:rPr>
              <w:t>13,800,000</w:t>
            </w:r>
          </w:p>
        </w:tc>
        <w:tc>
          <w:tcPr>
            <w:tcW w:w="1640" w:type="dxa"/>
            <w:vAlign w:val="bottom"/>
          </w:tcPr>
          <w:p>
            <w:pPr>
              <w:jc w:val="right"/>
              <w:ind w:right="162"/>
              <w:spacing w:after="0"/>
              <w:rPr>
                <w:sz w:val="20"/>
                <w:szCs w:val="20"/>
                <w:color w:val="auto"/>
              </w:rPr>
            </w:pPr>
            <w:r>
              <w:rPr>
                <w:rFonts w:ascii="Arial" w:cs="Arial" w:eastAsia="Arial" w:hAnsi="Arial"/>
                <w:sz w:val="20"/>
                <w:szCs w:val="20"/>
                <w:i w:val="1"/>
                <w:iCs w:val="1"/>
                <w:color w:val="auto"/>
              </w:rPr>
              <w:t>22,000,000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320"/>
              <w:spacing w:after="0"/>
              <w:rPr>
                <w:sz w:val="20"/>
                <w:szCs w:val="20"/>
                <w:color w:val="auto"/>
              </w:rPr>
            </w:pPr>
            <w:r>
              <w:rPr>
                <w:rFonts w:ascii="Arial" w:cs="Arial" w:eastAsia="Arial" w:hAnsi="Arial"/>
                <w:sz w:val="20"/>
                <w:szCs w:val="20"/>
                <w:i w:val="1"/>
                <w:iCs w:val="1"/>
                <w:color w:val="auto"/>
              </w:rPr>
              <w:t>Unvested</w:t>
            </w:r>
          </w:p>
        </w:tc>
        <w:tc>
          <w:tcPr>
            <w:tcW w:w="2680" w:type="dxa"/>
            <w:vAlign w:val="bottom"/>
          </w:tcPr>
          <w:p>
            <w:pPr>
              <w:jc w:val="right"/>
              <w:ind w:right="482"/>
              <w:spacing w:after="0"/>
              <w:rPr>
                <w:sz w:val="20"/>
                <w:szCs w:val="20"/>
                <w:color w:val="auto"/>
              </w:rPr>
            </w:pPr>
            <w:r>
              <w:rPr>
                <w:rFonts w:ascii="Arial" w:cs="Arial" w:eastAsia="Arial" w:hAnsi="Arial"/>
                <w:sz w:val="20"/>
                <w:szCs w:val="20"/>
                <w:i w:val="1"/>
                <w:iCs w:val="1"/>
                <w:color w:val="auto"/>
              </w:rPr>
              <w:t>11,900,000</w:t>
            </w:r>
          </w:p>
        </w:tc>
        <w:tc>
          <w:tcPr>
            <w:tcW w:w="1640" w:type="dxa"/>
            <w:vAlign w:val="bottom"/>
          </w:tcPr>
          <w:p>
            <w:pPr>
              <w:jc w:val="right"/>
              <w:ind w:right="162"/>
              <w:spacing w:after="0"/>
              <w:rPr>
                <w:sz w:val="20"/>
                <w:szCs w:val="20"/>
                <w:color w:val="auto"/>
              </w:rPr>
            </w:pPr>
            <w:r>
              <w:rPr>
                <w:rFonts w:ascii="Arial" w:cs="Arial" w:eastAsia="Arial" w:hAnsi="Arial"/>
                <w:sz w:val="20"/>
                <w:szCs w:val="20"/>
                <w:i w:val="1"/>
                <w:iCs w:val="1"/>
                <w:color w:val="auto"/>
              </w:rPr>
              <w:t>9,500,000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Weighted Average Exercise Price of Stock Options Outstanding</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$34.31</w:t>
            </w:r>
          </w:p>
        </w:tc>
        <w:tc>
          <w:tcPr>
            <w:tcW w:w="1640" w:type="dxa"/>
            <w:vAlign w:val="bottom"/>
          </w:tcPr>
          <w:p>
            <w:pPr>
              <w:jc w:val="right"/>
              <w:ind w:right="162"/>
              <w:spacing w:after="0"/>
              <w:rPr>
                <w:sz w:val="20"/>
                <w:szCs w:val="20"/>
                <w:color w:val="auto"/>
              </w:rPr>
            </w:pPr>
            <w:r>
              <w:rPr>
                <w:rFonts w:ascii="Arial" w:cs="Arial" w:eastAsia="Arial" w:hAnsi="Arial"/>
                <w:sz w:val="20"/>
                <w:szCs w:val="20"/>
                <w:color w:val="auto"/>
              </w:rPr>
              <w:t>$34.53</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Weighted Average Remaining Term of Stock Options Outstanding</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6.78</w:t>
            </w:r>
          </w:p>
        </w:tc>
        <w:tc>
          <w:tcPr>
            <w:tcW w:w="1640" w:type="dxa"/>
            <w:vAlign w:val="bottom"/>
          </w:tcPr>
          <w:p>
            <w:pPr>
              <w:jc w:val="right"/>
              <w:ind w:right="162"/>
              <w:spacing w:after="0"/>
              <w:rPr>
                <w:sz w:val="20"/>
                <w:szCs w:val="20"/>
                <w:color w:val="auto"/>
              </w:rPr>
            </w:pPr>
            <w:r>
              <w:rPr>
                <w:rFonts w:ascii="Arial" w:cs="Arial" w:eastAsia="Arial" w:hAnsi="Arial"/>
                <w:sz w:val="20"/>
                <w:szCs w:val="20"/>
                <w:color w:val="auto"/>
              </w:rPr>
              <w:t>7.16</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Full Value Awards Outstanding under the Plans</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14,200,000</w:t>
            </w:r>
          </w:p>
        </w:tc>
        <w:tc>
          <w:tcPr>
            <w:tcW w:w="1640" w:type="dxa"/>
            <w:vAlign w:val="bottom"/>
          </w:tcPr>
          <w:p>
            <w:pPr>
              <w:jc w:val="right"/>
              <w:ind w:right="162"/>
              <w:spacing w:after="0"/>
              <w:rPr>
                <w:sz w:val="20"/>
                <w:szCs w:val="20"/>
                <w:color w:val="auto"/>
              </w:rPr>
            </w:pPr>
            <w:r>
              <w:rPr>
                <w:rFonts w:ascii="Arial" w:cs="Arial" w:eastAsia="Arial" w:hAnsi="Arial"/>
                <w:sz w:val="20"/>
                <w:szCs w:val="20"/>
                <w:color w:val="auto"/>
              </w:rPr>
              <w:t>14,600,000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320"/>
              <w:spacing w:after="0"/>
              <w:rPr>
                <w:sz w:val="20"/>
                <w:szCs w:val="20"/>
                <w:color w:val="auto"/>
              </w:rPr>
            </w:pPr>
            <w:r>
              <w:rPr>
                <w:rFonts w:ascii="Arial" w:cs="Arial" w:eastAsia="Arial" w:hAnsi="Arial"/>
                <w:sz w:val="20"/>
                <w:szCs w:val="20"/>
                <w:i w:val="1"/>
                <w:iCs w:val="1"/>
                <w:color w:val="auto"/>
              </w:rPr>
              <w:t>Outstanding PSUs (at target)</w:t>
            </w:r>
          </w:p>
        </w:tc>
        <w:tc>
          <w:tcPr>
            <w:tcW w:w="2680" w:type="dxa"/>
            <w:vAlign w:val="bottom"/>
          </w:tcPr>
          <w:p>
            <w:pPr>
              <w:jc w:val="right"/>
              <w:ind w:right="482"/>
              <w:spacing w:after="0"/>
              <w:rPr>
                <w:sz w:val="20"/>
                <w:szCs w:val="20"/>
                <w:color w:val="auto"/>
              </w:rPr>
            </w:pPr>
            <w:r>
              <w:rPr>
                <w:rFonts w:ascii="Arial" w:cs="Arial" w:eastAsia="Arial" w:hAnsi="Arial"/>
                <w:sz w:val="20"/>
                <w:szCs w:val="20"/>
                <w:i w:val="1"/>
                <w:iCs w:val="1"/>
                <w:color w:val="auto"/>
              </w:rPr>
              <w:t>12,600,000</w:t>
            </w:r>
          </w:p>
        </w:tc>
        <w:tc>
          <w:tcPr>
            <w:tcW w:w="1640" w:type="dxa"/>
            <w:vAlign w:val="bottom"/>
          </w:tcPr>
          <w:p>
            <w:pPr>
              <w:jc w:val="right"/>
              <w:ind w:right="162"/>
              <w:spacing w:after="0"/>
              <w:rPr>
                <w:sz w:val="20"/>
                <w:szCs w:val="20"/>
                <w:color w:val="auto"/>
              </w:rPr>
            </w:pPr>
            <w:r>
              <w:rPr>
                <w:rFonts w:ascii="Arial" w:cs="Arial" w:eastAsia="Arial" w:hAnsi="Arial"/>
                <w:sz w:val="20"/>
                <w:szCs w:val="20"/>
                <w:i w:val="1"/>
                <w:iCs w:val="1"/>
                <w:color w:val="auto"/>
              </w:rPr>
              <w:t>13,000,000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320"/>
              <w:spacing w:after="0"/>
              <w:rPr>
                <w:sz w:val="20"/>
                <w:szCs w:val="20"/>
                <w:color w:val="auto"/>
              </w:rPr>
            </w:pPr>
            <w:r>
              <w:rPr>
                <w:rFonts w:ascii="Arial" w:cs="Arial" w:eastAsia="Arial" w:hAnsi="Arial"/>
                <w:sz w:val="20"/>
                <w:szCs w:val="20"/>
                <w:i w:val="1"/>
                <w:iCs w:val="1"/>
                <w:color w:val="auto"/>
              </w:rPr>
              <w:t>Outstanding RSUs</w:t>
            </w:r>
          </w:p>
        </w:tc>
        <w:tc>
          <w:tcPr>
            <w:tcW w:w="2680" w:type="dxa"/>
            <w:vAlign w:val="bottom"/>
          </w:tcPr>
          <w:p>
            <w:pPr>
              <w:jc w:val="right"/>
              <w:ind w:right="482"/>
              <w:spacing w:after="0"/>
              <w:rPr>
                <w:sz w:val="20"/>
                <w:szCs w:val="20"/>
                <w:color w:val="auto"/>
              </w:rPr>
            </w:pPr>
            <w:r>
              <w:rPr>
                <w:rFonts w:ascii="Arial" w:cs="Arial" w:eastAsia="Arial" w:hAnsi="Arial"/>
                <w:sz w:val="20"/>
                <w:szCs w:val="20"/>
                <w:i w:val="1"/>
                <w:iCs w:val="1"/>
                <w:color w:val="auto"/>
              </w:rPr>
              <w:t>1,600,000</w:t>
            </w:r>
          </w:p>
        </w:tc>
        <w:tc>
          <w:tcPr>
            <w:tcW w:w="1640" w:type="dxa"/>
            <w:vAlign w:val="bottom"/>
          </w:tcPr>
          <w:p>
            <w:pPr>
              <w:jc w:val="right"/>
              <w:ind w:right="162"/>
              <w:spacing w:after="0"/>
              <w:rPr>
                <w:sz w:val="20"/>
                <w:szCs w:val="20"/>
                <w:color w:val="auto"/>
              </w:rPr>
            </w:pPr>
            <w:r>
              <w:rPr>
                <w:rFonts w:ascii="Arial" w:cs="Arial" w:eastAsia="Arial" w:hAnsi="Arial"/>
                <w:sz w:val="20"/>
                <w:szCs w:val="20"/>
                <w:i w:val="1"/>
                <w:iCs w:val="1"/>
                <w:color w:val="auto"/>
              </w:rPr>
              <w:t>1,600,000</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320"/>
              <w:spacing w:after="0"/>
              <w:rPr>
                <w:sz w:val="20"/>
                <w:szCs w:val="20"/>
                <w:color w:val="auto"/>
              </w:rPr>
            </w:pPr>
            <w:r>
              <w:rPr>
                <w:rFonts w:ascii="Arial" w:cs="Arial" w:eastAsia="Arial" w:hAnsi="Arial"/>
                <w:sz w:val="20"/>
                <w:szCs w:val="20"/>
                <w:i w:val="1"/>
                <w:iCs w:val="1"/>
                <w:color w:val="auto"/>
              </w:rPr>
              <w:t>Outstanding RSAs</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62"/>
              <w:spacing w:after="0"/>
              <w:rPr>
                <w:sz w:val="20"/>
                <w:szCs w:val="20"/>
                <w:color w:val="auto"/>
              </w:rPr>
            </w:pPr>
            <w:r>
              <w:rPr>
                <w:rFonts w:ascii="Arial" w:cs="Arial" w:eastAsia="Arial" w:hAnsi="Arial"/>
                <w:sz w:val="20"/>
                <w:szCs w:val="20"/>
                <w:color w:val="auto"/>
              </w:rPr>
              <w:t>—</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Total Awards Outstanding under the Plans</w:t>
            </w:r>
          </w:p>
        </w:tc>
        <w:tc>
          <w:tcPr>
            <w:tcW w:w="2680" w:type="dxa"/>
            <w:vAlign w:val="bottom"/>
          </w:tcPr>
          <w:p>
            <w:pPr>
              <w:jc w:val="right"/>
              <w:ind w:right="282"/>
              <w:spacing w:after="0"/>
              <w:rPr>
                <w:sz w:val="20"/>
                <w:szCs w:val="20"/>
                <w:color w:val="auto"/>
              </w:rPr>
            </w:pPr>
            <w:r>
              <w:rPr>
                <w:rFonts w:ascii="Arial" w:cs="Arial" w:eastAsia="Arial" w:hAnsi="Arial"/>
                <w:sz w:val="20"/>
                <w:szCs w:val="20"/>
                <w:color w:val="auto"/>
              </w:rPr>
              <w:t>39,900,000</w:t>
            </w:r>
            <w:r>
              <w:rPr>
                <w:rFonts w:ascii="Arial" w:cs="Arial" w:eastAsia="Arial" w:hAnsi="Arial"/>
                <w:sz w:val="16"/>
                <w:szCs w:val="16"/>
                <w:color w:val="auto"/>
              </w:rPr>
              <w:t>(1)</w:t>
            </w:r>
          </w:p>
        </w:tc>
        <w:tc>
          <w:tcPr>
            <w:tcW w:w="1640" w:type="dxa"/>
            <w:vAlign w:val="bottom"/>
          </w:tcPr>
          <w:p>
            <w:pPr>
              <w:jc w:val="right"/>
              <w:spacing w:after="0"/>
              <w:rPr>
                <w:sz w:val="20"/>
                <w:szCs w:val="20"/>
                <w:color w:val="auto"/>
              </w:rPr>
            </w:pPr>
            <w:r>
              <w:rPr>
                <w:rFonts w:ascii="Arial" w:cs="Arial" w:eastAsia="Arial" w:hAnsi="Arial"/>
                <w:sz w:val="20"/>
                <w:szCs w:val="20"/>
                <w:color w:val="auto"/>
              </w:rPr>
              <w:t>46,100,000</w:t>
            </w:r>
            <w:r>
              <w:rPr>
                <w:rFonts w:ascii="Arial" w:cs="Arial" w:eastAsia="Arial" w:hAnsi="Arial"/>
                <w:sz w:val="16"/>
                <w:szCs w:val="16"/>
                <w:color w:val="auto"/>
              </w:rPr>
              <w:t>(2)</w:t>
            </w:r>
          </w:p>
        </w:tc>
      </w:tr>
      <w:tr>
        <w:trPr>
          <w:trHeight w:val="62"/>
        </w:trPr>
        <w:tc>
          <w:tcPr>
            <w:tcW w:w="66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92"/>
        </w:trPr>
        <w:tc>
          <w:tcPr>
            <w:tcW w:w="6600" w:type="dxa"/>
            <w:vAlign w:val="bottom"/>
          </w:tcPr>
          <w:p>
            <w:pPr>
              <w:ind w:left="100"/>
              <w:spacing w:after="0"/>
              <w:rPr>
                <w:sz w:val="20"/>
                <w:szCs w:val="20"/>
                <w:color w:val="auto"/>
              </w:rPr>
            </w:pPr>
            <w:r>
              <w:rPr>
                <w:rFonts w:ascii="Arial" w:cs="Arial" w:eastAsia="Arial" w:hAnsi="Arial"/>
                <w:sz w:val="20"/>
                <w:szCs w:val="20"/>
                <w:color w:val="auto"/>
              </w:rPr>
              <w:t>Shares Available under the Plans</w:t>
            </w:r>
          </w:p>
        </w:tc>
        <w:tc>
          <w:tcPr>
            <w:tcW w:w="2680" w:type="dxa"/>
            <w:vAlign w:val="bottom"/>
          </w:tcPr>
          <w:p>
            <w:pPr>
              <w:jc w:val="right"/>
              <w:ind w:right="482"/>
              <w:spacing w:after="0"/>
              <w:rPr>
                <w:sz w:val="20"/>
                <w:szCs w:val="20"/>
                <w:color w:val="auto"/>
              </w:rPr>
            </w:pPr>
            <w:r>
              <w:rPr>
                <w:rFonts w:ascii="Arial" w:cs="Arial" w:eastAsia="Arial" w:hAnsi="Arial"/>
                <w:sz w:val="20"/>
                <w:szCs w:val="20"/>
                <w:color w:val="auto"/>
              </w:rPr>
              <w:t>25,500,000</w:t>
            </w:r>
          </w:p>
        </w:tc>
        <w:tc>
          <w:tcPr>
            <w:tcW w:w="1640" w:type="dxa"/>
            <w:vAlign w:val="bottom"/>
          </w:tcPr>
          <w:p>
            <w:pPr>
              <w:jc w:val="right"/>
              <w:spacing w:after="0"/>
              <w:rPr>
                <w:sz w:val="20"/>
                <w:szCs w:val="20"/>
                <w:color w:val="auto"/>
              </w:rPr>
            </w:pPr>
            <w:r>
              <w:rPr>
                <w:rFonts w:ascii="Arial" w:cs="Arial" w:eastAsia="Arial" w:hAnsi="Arial"/>
                <w:sz w:val="20"/>
                <w:szCs w:val="20"/>
                <w:color w:val="auto"/>
              </w:rPr>
              <w:t>11,600,000</w:t>
            </w: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1,600,000 stock-based units that are required to be settled in cash pursuant to award agreements.</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1,400,000 stock-based units that are required to be settled in cash pursuant to award agreements.</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No new awards will be granted under our existing plans upon approval of the 2020 LTIP.</w:t>
      </w:r>
    </w:p>
    <w:p>
      <w:pPr>
        <w:spacing w:after="0" w:line="301" w:lineRule="exact"/>
        <w:rPr>
          <w:sz w:val="20"/>
          <w:szCs w:val="20"/>
          <w:color w:val="auto"/>
        </w:rPr>
      </w:pPr>
    </w:p>
    <w:tbl>
      <w:tblPr>
        <w:tblLayout w:type="fixed"/>
        <w:tblInd w:w="1480" w:type="dxa"/>
        <w:tblCellMar>
          <w:top w:w="0" w:type="dxa"/>
          <w:left w:w="0" w:type="dxa"/>
          <w:bottom w:w="0" w:type="dxa"/>
          <w:right w:w="0" w:type="dxa"/>
        </w:tblCellMar>
      </w:tblPr>
      <w:tr>
        <w:trPr>
          <w:trHeight w:val="291"/>
        </w:trPr>
        <w:tc>
          <w:tcPr>
            <w:tcW w:w="6300" w:type="dxa"/>
            <w:vAlign w:val="bottom"/>
          </w:tcPr>
          <w:p>
            <w:pPr>
              <w:spacing w:after="0"/>
              <w:rPr>
                <w:sz w:val="20"/>
                <w:szCs w:val="20"/>
                <w:color w:val="auto"/>
              </w:rPr>
            </w:pPr>
            <w:r>
              <w:rPr>
                <w:rFonts w:ascii="Arial" w:cs="Arial" w:eastAsia="Arial" w:hAnsi="Arial"/>
                <w:sz w:val="21"/>
                <w:szCs w:val="21"/>
                <w:b w:val="1"/>
                <w:bCs w:val="1"/>
                <w:color w:val="00A1DF"/>
              </w:rPr>
              <w:t>Shares Requested under the 2020 LTIP:</w:t>
            </w:r>
          </w:p>
        </w:tc>
        <w:tc>
          <w:tcPr>
            <w:tcW w:w="1920" w:type="dxa"/>
            <w:vAlign w:val="bottom"/>
          </w:tcPr>
          <w:p>
            <w:pPr>
              <w:jc w:val="right"/>
              <w:spacing w:after="0"/>
              <w:rPr>
                <w:sz w:val="20"/>
                <w:szCs w:val="20"/>
                <w:color w:val="auto"/>
              </w:rPr>
            </w:pPr>
            <w:r>
              <w:rPr>
                <w:rFonts w:ascii="Arial" w:cs="Arial" w:eastAsia="Arial" w:hAnsi="Arial"/>
                <w:sz w:val="20"/>
                <w:szCs w:val="20"/>
                <w:color w:val="auto"/>
              </w:rPr>
              <w:t>50,000,000</w:t>
            </w:r>
          </w:p>
        </w:tc>
      </w:tr>
      <w:tr>
        <w:trPr>
          <w:trHeight w:val="401"/>
        </w:trPr>
        <w:tc>
          <w:tcPr>
            <w:tcW w:w="6300" w:type="dxa"/>
            <w:vAlign w:val="bottom"/>
          </w:tcPr>
          <w:p>
            <w:pPr>
              <w:spacing w:after="0"/>
              <w:rPr>
                <w:sz w:val="20"/>
                <w:szCs w:val="20"/>
                <w:color w:val="auto"/>
              </w:rPr>
            </w:pPr>
            <w:r>
              <w:rPr>
                <w:rFonts w:ascii="Arial" w:cs="Arial" w:eastAsia="Arial" w:hAnsi="Arial"/>
                <w:sz w:val="21"/>
                <w:szCs w:val="21"/>
                <w:b w:val="1"/>
                <w:bCs w:val="1"/>
                <w:color w:val="00A1DF"/>
              </w:rPr>
              <w:t>GM Common Stock Outstanding as of the Record Date:</w:t>
            </w:r>
          </w:p>
        </w:tc>
        <w:tc>
          <w:tcPr>
            <w:tcW w:w="1920" w:type="dxa"/>
            <w:vAlign w:val="bottom"/>
          </w:tcPr>
          <w:p>
            <w:pPr>
              <w:jc w:val="right"/>
              <w:spacing w:after="0"/>
              <w:rPr>
                <w:sz w:val="20"/>
                <w:szCs w:val="20"/>
                <w:color w:val="auto"/>
              </w:rPr>
            </w:pPr>
            <w:r>
              <w:rPr>
                <w:rFonts w:ascii="Arial" w:cs="Arial" w:eastAsia="Arial" w:hAnsi="Arial"/>
                <w:sz w:val="20"/>
                <w:szCs w:val="20"/>
                <w:color w:val="auto"/>
              </w:rPr>
              <w:t>1,432,378,376</w:t>
            </w:r>
          </w:p>
        </w:tc>
      </w:tr>
    </w:tbl>
    <w:p>
      <w:pPr>
        <w:spacing w:after="0" w:line="169"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0033A0"/>
        </w:rPr>
        <w:t xml:space="preserve">Overhang – </w:t>
      </w:r>
      <w:r>
        <w:rPr>
          <w:rFonts w:ascii="Arial" w:cs="Arial" w:eastAsia="Arial" w:hAnsi="Arial"/>
          <w:sz w:val="20"/>
          <w:szCs w:val="20"/>
          <w:color w:val="000000"/>
        </w:rPr>
        <w:t>As of March 31, 2020, there were approximately 11.6 million shares authorized and available for issuance under</w:t>
      </w:r>
      <w:r>
        <w:rPr>
          <w:rFonts w:ascii="Arial" w:cs="Arial" w:eastAsia="Arial" w:hAnsi="Arial"/>
          <w:sz w:val="20"/>
          <w:szCs w:val="20"/>
          <w:b w:val="1"/>
          <w:bCs w:val="1"/>
          <w:color w:val="0033A0"/>
        </w:rPr>
        <w:t xml:space="preserve"> </w:t>
      </w:r>
      <w:r>
        <w:rPr>
          <w:rFonts w:ascii="Arial" w:cs="Arial" w:eastAsia="Arial" w:hAnsi="Arial"/>
          <w:sz w:val="20"/>
          <w:szCs w:val="20"/>
          <w:color w:val="000000"/>
        </w:rPr>
        <w:t>the Company’s existing equity incentive plans and 46.1 million shares subject to awards outstanding under these plans, representing 4.0% of the common stock outstanding as of the record date on a fully diluted basis (the “Overhang Percentage”). The 50 million shares requested under the 2020 LTIP would increase the Overhang Percentage to approximately 7.5%. We believe this represents a reasonable amount of potential equity dilution that will allow us to continue granting equity awards, which is an important component of our executive compensation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82550</wp:posOffset>
            </wp:positionV>
            <wp:extent cx="6793865" cy="1016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82</w:t>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33A0"/>
        </w:rPr>
        <w:t xml:space="preserve">Share Usage – </w:t>
      </w:r>
      <w:r>
        <w:rPr>
          <w:rFonts w:ascii="Arial" w:cs="Arial" w:eastAsia="Arial" w:hAnsi="Arial"/>
          <w:sz w:val="20"/>
          <w:szCs w:val="20"/>
          <w:color w:val="000000"/>
        </w:rPr>
        <w:t>The annual share usage under the Company’s equity incentive plans for the last three fiscal years is</w:t>
      </w:r>
      <w:r>
        <w:rPr>
          <w:rFonts w:ascii="Arial" w:cs="Arial" w:eastAsia="Arial" w:hAnsi="Arial"/>
          <w:sz w:val="20"/>
          <w:szCs w:val="20"/>
          <w:b w:val="1"/>
          <w:bCs w:val="1"/>
          <w:color w:val="0033A0"/>
        </w:rPr>
        <w:t xml:space="preserve"> </w:t>
      </w:r>
      <w:r>
        <w:rPr>
          <w:rFonts w:ascii="Arial" w:cs="Arial" w:eastAsia="Arial" w:hAnsi="Arial"/>
          <w:sz w:val="20"/>
          <w:szCs w:val="20"/>
          <w:color w:val="000000"/>
        </w:rPr>
        <w:t>presented below. The features of these plans are discussed further in Note 23 to the Consolidated Financial Statements, “Stock Incentive Plans” in our 2019 Form 10-K.</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160" w:type="dxa"/>
            <w:vAlign w:val="bottom"/>
            <w:tcBorders>
              <w:top w:val="single" w:sz="8" w:color="00A1DF"/>
            </w:tcBorders>
          </w:tcPr>
          <w:p>
            <w:pPr>
              <w:spacing w:after="0"/>
              <w:rPr>
                <w:sz w:val="18"/>
                <w:szCs w:val="18"/>
                <w:color w:val="auto"/>
              </w:rPr>
            </w:pPr>
          </w:p>
        </w:tc>
        <w:tc>
          <w:tcPr>
            <w:tcW w:w="1760" w:type="dxa"/>
            <w:vAlign w:val="bottom"/>
            <w:tcBorders>
              <w:top w:val="single" w:sz="8" w:color="00A1DF"/>
            </w:tcBorders>
          </w:tcPr>
          <w:p>
            <w:pPr>
              <w:spacing w:after="0"/>
              <w:rPr>
                <w:sz w:val="18"/>
                <w:szCs w:val="18"/>
                <w:color w:val="auto"/>
              </w:rPr>
            </w:pPr>
          </w:p>
        </w:tc>
        <w:tc>
          <w:tcPr>
            <w:tcW w:w="1560" w:type="dxa"/>
            <w:vAlign w:val="bottom"/>
            <w:tcBorders>
              <w:top w:val="single" w:sz="8" w:color="00A1DF"/>
            </w:tcBorders>
          </w:tcPr>
          <w:p>
            <w:pPr>
              <w:spacing w:after="0"/>
              <w:rPr>
                <w:sz w:val="18"/>
                <w:szCs w:val="18"/>
                <w:color w:val="auto"/>
              </w:rPr>
            </w:pPr>
          </w:p>
        </w:tc>
        <w:tc>
          <w:tcPr>
            <w:tcW w:w="1520" w:type="dxa"/>
            <w:vAlign w:val="bottom"/>
            <w:tcBorders>
              <w:top w:val="single" w:sz="8" w:color="00A1DF"/>
            </w:tcBorders>
          </w:tcPr>
          <w:p>
            <w:pPr>
              <w:spacing w:after="0"/>
              <w:rPr>
                <w:sz w:val="18"/>
                <w:szCs w:val="18"/>
                <w:color w:val="auto"/>
              </w:rPr>
            </w:pPr>
          </w:p>
        </w:tc>
        <w:tc>
          <w:tcPr>
            <w:tcW w:w="92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3-Year</w:t>
            </w:r>
          </w:p>
        </w:tc>
      </w:tr>
      <w:tr>
        <w:trPr>
          <w:trHeight w:val="273"/>
        </w:trPr>
        <w:tc>
          <w:tcPr>
            <w:tcW w:w="5160" w:type="dxa"/>
            <w:vAlign w:val="bottom"/>
          </w:tcPr>
          <w:p>
            <w:pPr>
              <w:spacing w:after="0"/>
              <w:rPr>
                <w:sz w:val="23"/>
                <w:szCs w:val="23"/>
                <w:color w:val="auto"/>
              </w:rPr>
            </w:pPr>
          </w:p>
        </w:tc>
        <w:tc>
          <w:tcPr>
            <w:tcW w:w="1760" w:type="dxa"/>
            <w:vAlign w:val="bottom"/>
          </w:tcPr>
          <w:p>
            <w:pPr>
              <w:jc w:val="right"/>
              <w:ind w:right="210"/>
              <w:spacing w:after="0"/>
              <w:rPr>
                <w:sz w:val="20"/>
                <w:szCs w:val="20"/>
                <w:color w:val="auto"/>
              </w:rPr>
            </w:pPr>
            <w:r>
              <w:rPr>
                <w:rFonts w:ascii="Arial" w:cs="Arial" w:eastAsia="Arial" w:hAnsi="Arial"/>
                <w:sz w:val="20"/>
                <w:szCs w:val="20"/>
                <w:b w:val="1"/>
                <w:bCs w:val="1"/>
                <w:color w:val="00A1DF"/>
              </w:rPr>
              <w:t>2019</w:t>
            </w:r>
          </w:p>
        </w:tc>
        <w:tc>
          <w:tcPr>
            <w:tcW w:w="1560" w:type="dxa"/>
            <w:vAlign w:val="bottom"/>
          </w:tcPr>
          <w:p>
            <w:pPr>
              <w:jc w:val="right"/>
              <w:ind w:right="210"/>
              <w:spacing w:after="0"/>
              <w:rPr>
                <w:sz w:val="20"/>
                <w:szCs w:val="20"/>
                <w:color w:val="auto"/>
              </w:rPr>
            </w:pPr>
            <w:r>
              <w:rPr>
                <w:rFonts w:ascii="Arial" w:cs="Arial" w:eastAsia="Arial" w:hAnsi="Arial"/>
                <w:sz w:val="20"/>
                <w:szCs w:val="20"/>
                <w:b w:val="1"/>
                <w:bCs w:val="1"/>
                <w:color w:val="00A1DF"/>
              </w:rPr>
              <w:t>2018</w:t>
            </w:r>
          </w:p>
        </w:tc>
        <w:tc>
          <w:tcPr>
            <w:tcW w:w="1520" w:type="dxa"/>
            <w:vAlign w:val="bottom"/>
          </w:tcPr>
          <w:p>
            <w:pPr>
              <w:jc w:val="right"/>
              <w:ind w:right="170"/>
              <w:spacing w:after="0"/>
              <w:rPr>
                <w:sz w:val="20"/>
                <w:szCs w:val="20"/>
                <w:color w:val="auto"/>
              </w:rPr>
            </w:pPr>
            <w:r>
              <w:rPr>
                <w:rFonts w:ascii="Arial" w:cs="Arial" w:eastAsia="Arial" w:hAnsi="Arial"/>
                <w:sz w:val="20"/>
                <w:szCs w:val="20"/>
                <w:b w:val="1"/>
                <w:bCs w:val="1"/>
                <w:color w:val="00A1DF"/>
              </w:rPr>
              <w:t>2017</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0A1DF"/>
              </w:rPr>
              <w:t>Average</w:t>
            </w:r>
          </w:p>
        </w:tc>
      </w:tr>
      <w:tr>
        <w:trPr>
          <w:trHeight w:val="62"/>
        </w:trPr>
        <w:tc>
          <w:tcPr>
            <w:tcW w:w="5160" w:type="dxa"/>
            <w:vAlign w:val="bottom"/>
            <w:tcBorders>
              <w:bottom w:val="single" w:sz="8" w:color="00A1DF"/>
            </w:tcBorders>
          </w:tcPr>
          <w:p>
            <w:pPr>
              <w:spacing w:after="0"/>
              <w:rPr>
                <w:sz w:val="5"/>
                <w:szCs w:val="5"/>
                <w:color w:val="auto"/>
              </w:rPr>
            </w:pPr>
          </w:p>
        </w:tc>
        <w:tc>
          <w:tcPr>
            <w:tcW w:w="1760" w:type="dxa"/>
            <w:vAlign w:val="bottom"/>
            <w:tcBorders>
              <w:bottom w:val="single" w:sz="8" w:color="00A1DF"/>
            </w:tcBorders>
          </w:tcPr>
          <w:p>
            <w:pPr>
              <w:spacing w:after="0"/>
              <w:rPr>
                <w:sz w:val="5"/>
                <w:szCs w:val="5"/>
                <w:color w:val="auto"/>
              </w:rPr>
            </w:pPr>
          </w:p>
        </w:tc>
        <w:tc>
          <w:tcPr>
            <w:tcW w:w="1560" w:type="dxa"/>
            <w:vAlign w:val="bottom"/>
            <w:tcBorders>
              <w:bottom w:val="single" w:sz="8" w:color="00A1DF"/>
            </w:tcBorders>
          </w:tcPr>
          <w:p>
            <w:pPr>
              <w:spacing w:after="0"/>
              <w:rPr>
                <w:sz w:val="5"/>
                <w:szCs w:val="5"/>
                <w:color w:val="auto"/>
              </w:rPr>
            </w:pPr>
          </w:p>
        </w:tc>
        <w:tc>
          <w:tcPr>
            <w:tcW w:w="1520" w:type="dxa"/>
            <w:vAlign w:val="bottom"/>
            <w:tcBorders>
              <w:bottom w:val="single" w:sz="8" w:color="00A1DF"/>
            </w:tcBorders>
          </w:tcPr>
          <w:p>
            <w:pPr>
              <w:spacing w:after="0"/>
              <w:rPr>
                <w:sz w:val="5"/>
                <w:szCs w:val="5"/>
                <w:color w:val="auto"/>
              </w:rPr>
            </w:pPr>
          </w:p>
        </w:tc>
        <w:tc>
          <w:tcPr>
            <w:tcW w:w="920" w:type="dxa"/>
            <w:vAlign w:val="bottom"/>
            <w:tcBorders>
              <w:bottom w:val="single" w:sz="8" w:color="00A1DF"/>
            </w:tcBorders>
          </w:tcPr>
          <w:p>
            <w:pPr>
              <w:spacing w:after="0"/>
              <w:rPr>
                <w:sz w:val="5"/>
                <w:szCs w:val="5"/>
                <w:color w:val="auto"/>
              </w:rPr>
            </w:pPr>
          </w:p>
        </w:tc>
      </w:tr>
      <w:tr>
        <w:trPr>
          <w:trHeight w:val="273"/>
        </w:trPr>
        <w:tc>
          <w:tcPr>
            <w:tcW w:w="5160" w:type="dxa"/>
            <w:vAlign w:val="bottom"/>
          </w:tcPr>
          <w:p>
            <w:pPr>
              <w:ind w:left="100"/>
              <w:spacing w:after="0"/>
              <w:rPr>
                <w:sz w:val="20"/>
                <w:szCs w:val="20"/>
                <w:color w:val="auto"/>
              </w:rPr>
            </w:pPr>
            <w:r>
              <w:rPr>
                <w:rFonts w:ascii="Arial" w:cs="Arial" w:eastAsia="Arial" w:hAnsi="Arial"/>
                <w:sz w:val="18"/>
                <w:szCs w:val="18"/>
                <w:color w:val="auto"/>
              </w:rPr>
              <w:t>A Full Value Awards Granted During Fiscal Year</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4,900,000</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5,300,000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6,200,000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500"/>
              <w:spacing w:after="0"/>
              <w:rPr>
                <w:sz w:val="20"/>
                <w:szCs w:val="20"/>
                <w:color w:val="auto"/>
              </w:rPr>
            </w:pPr>
            <w:r>
              <w:rPr>
                <w:rFonts w:ascii="Arial" w:cs="Arial" w:eastAsia="Arial" w:hAnsi="Arial"/>
                <w:sz w:val="18"/>
                <w:szCs w:val="18"/>
                <w:i w:val="1"/>
                <w:iCs w:val="1"/>
                <w:color w:val="auto"/>
              </w:rPr>
              <w:t>PSUs Granted (at target)</w:t>
            </w:r>
          </w:p>
        </w:tc>
        <w:tc>
          <w:tcPr>
            <w:tcW w:w="1760" w:type="dxa"/>
            <w:vAlign w:val="bottom"/>
          </w:tcPr>
          <w:p>
            <w:pPr>
              <w:jc w:val="right"/>
              <w:ind w:right="210"/>
              <w:spacing w:after="0"/>
              <w:rPr>
                <w:sz w:val="20"/>
                <w:szCs w:val="20"/>
                <w:color w:val="auto"/>
              </w:rPr>
            </w:pPr>
            <w:r>
              <w:rPr>
                <w:rFonts w:ascii="Arial" w:cs="Arial" w:eastAsia="Arial" w:hAnsi="Arial"/>
                <w:sz w:val="18"/>
                <w:szCs w:val="18"/>
                <w:i w:val="1"/>
                <w:iCs w:val="1"/>
                <w:color w:val="auto"/>
              </w:rPr>
              <w:t>4,100,000</w:t>
            </w:r>
          </w:p>
        </w:tc>
        <w:tc>
          <w:tcPr>
            <w:tcW w:w="1560" w:type="dxa"/>
            <w:vAlign w:val="bottom"/>
          </w:tcPr>
          <w:p>
            <w:pPr>
              <w:jc w:val="right"/>
              <w:ind w:right="210"/>
              <w:spacing w:after="0"/>
              <w:rPr>
                <w:sz w:val="20"/>
                <w:szCs w:val="20"/>
                <w:color w:val="auto"/>
              </w:rPr>
            </w:pPr>
            <w:r>
              <w:rPr>
                <w:rFonts w:ascii="Arial" w:cs="Arial" w:eastAsia="Arial" w:hAnsi="Arial"/>
                <w:sz w:val="18"/>
                <w:szCs w:val="18"/>
                <w:i w:val="1"/>
                <w:iCs w:val="1"/>
                <w:color w:val="auto"/>
              </w:rPr>
              <w:t>4,400,000</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5,200,000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500"/>
              <w:spacing w:after="0"/>
              <w:rPr>
                <w:sz w:val="20"/>
                <w:szCs w:val="20"/>
                <w:color w:val="auto"/>
              </w:rPr>
            </w:pPr>
            <w:r>
              <w:rPr>
                <w:rFonts w:ascii="Arial" w:cs="Arial" w:eastAsia="Arial" w:hAnsi="Arial"/>
                <w:sz w:val="18"/>
                <w:szCs w:val="18"/>
                <w:i w:val="1"/>
                <w:iCs w:val="1"/>
                <w:color w:val="auto"/>
              </w:rPr>
              <w:t>RSUs Granted</w:t>
            </w:r>
          </w:p>
        </w:tc>
        <w:tc>
          <w:tcPr>
            <w:tcW w:w="1760" w:type="dxa"/>
            <w:vAlign w:val="bottom"/>
          </w:tcPr>
          <w:p>
            <w:pPr>
              <w:jc w:val="right"/>
              <w:ind w:right="210"/>
              <w:spacing w:after="0"/>
              <w:rPr>
                <w:sz w:val="20"/>
                <w:szCs w:val="20"/>
                <w:color w:val="auto"/>
              </w:rPr>
            </w:pPr>
            <w:r>
              <w:rPr>
                <w:rFonts w:ascii="Arial" w:cs="Arial" w:eastAsia="Arial" w:hAnsi="Arial"/>
                <w:sz w:val="18"/>
                <w:szCs w:val="18"/>
                <w:i w:val="1"/>
                <w:iCs w:val="1"/>
                <w:color w:val="auto"/>
              </w:rPr>
              <w:t>800,000</w:t>
            </w:r>
          </w:p>
        </w:tc>
        <w:tc>
          <w:tcPr>
            <w:tcW w:w="1560" w:type="dxa"/>
            <w:vAlign w:val="bottom"/>
          </w:tcPr>
          <w:p>
            <w:pPr>
              <w:jc w:val="right"/>
              <w:ind w:right="210"/>
              <w:spacing w:after="0"/>
              <w:rPr>
                <w:sz w:val="20"/>
                <w:szCs w:val="20"/>
                <w:color w:val="auto"/>
              </w:rPr>
            </w:pPr>
            <w:r>
              <w:rPr>
                <w:rFonts w:ascii="Arial" w:cs="Arial" w:eastAsia="Arial" w:hAnsi="Arial"/>
                <w:sz w:val="18"/>
                <w:szCs w:val="18"/>
                <w:i w:val="1"/>
                <w:iCs w:val="1"/>
                <w:color w:val="auto"/>
              </w:rPr>
              <w:t>900,000</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1,000,000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500"/>
              <w:spacing w:after="0"/>
              <w:rPr>
                <w:sz w:val="20"/>
                <w:szCs w:val="20"/>
                <w:color w:val="auto"/>
              </w:rPr>
            </w:pPr>
            <w:r>
              <w:rPr>
                <w:rFonts w:ascii="Arial" w:cs="Arial" w:eastAsia="Arial" w:hAnsi="Arial"/>
                <w:sz w:val="18"/>
                <w:szCs w:val="18"/>
                <w:i w:val="1"/>
                <w:iCs w:val="1"/>
                <w:color w:val="auto"/>
              </w:rPr>
              <w:t>RSAs Granted</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100"/>
              <w:spacing w:after="0"/>
              <w:rPr>
                <w:sz w:val="20"/>
                <w:szCs w:val="20"/>
                <w:color w:val="auto"/>
              </w:rPr>
            </w:pPr>
            <w:r>
              <w:rPr>
                <w:rFonts w:ascii="Arial" w:cs="Arial" w:eastAsia="Arial" w:hAnsi="Arial"/>
                <w:sz w:val="18"/>
                <w:szCs w:val="18"/>
                <w:color w:val="auto"/>
              </w:rPr>
              <w:t>B Stock Options Granted During Fiscal Year</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3,900,000</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3,800,000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6,500,000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500"/>
              <w:spacing w:after="0"/>
              <w:rPr>
                <w:sz w:val="20"/>
                <w:szCs w:val="20"/>
                <w:color w:val="auto"/>
              </w:rPr>
            </w:pPr>
            <w:r>
              <w:rPr>
                <w:rFonts w:ascii="Arial" w:cs="Arial" w:eastAsia="Arial" w:hAnsi="Arial"/>
                <w:sz w:val="18"/>
                <w:szCs w:val="18"/>
                <w:i w:val="1"/>
                <w:iCs w:val="1"/>
                <w:color w:val="auto"/>
              </w:rPr>
              <w:t>Time-Based Stock Options Granted</w:t>
            </w:r>
          </w:p>
        </w:tc>
        <w:tc>
          <w:tcPr>
            <w:tcW w:w="1760" w:type="dxa"/>
            <w:vAlign w:val="bottom"/>
          </w:tcPr>
          <w:p>
            <w:pPr>
              <w:jc w:val="right"/>
              <w:ind w:right="210"/>
              <w:spacing w:after="0"/>
              <w:rPr>
                <w:sz w:val="20"/>
                <w:szCs w:val="20"/>
                <w:color w:val="auto"/>
              </w:rPr>
            </w:pPr>
            <w:r>
              <w:rPr>
                <w:rFonts w:ascii="Arial" w:cs="Arial" w:eastAsia="Arial" w:hAnsi="Arial"/>
                <w:sz w:val="18"/>
                <w:szCs w:val="18"/>
                <w:i w:val="1"/>
                <w:iCs w:val="1"/>
                <w:color w:val="auto"/>
              </w:rPr>
              <w:t>3,900,000</w:t>
            </w:r>
          </w:p>
        </w:tc>
        <w:tc>
          <w:tcPr>
            <w:tcW w:w="1560" w:type="dxa"/>
            <w:vAlign w:val="bottom"/>
          </w:tcPr>
          <w:p>
            <w:pPr>
              <w:jc w:val="right"/>
              <w:ind w:right="210"/>
              <w:spacing w:after="0"/>
              <w:rPr>
                <w:sz w:val="20"/>
                <w:szCs w:val="20"/>
                <w:color w:val="auto"/>
              </w:rPr>
            </w:pPr>
            <w:r>
              <w:rPr>
                <w:rFonts w:ascii="Arial" w:cs="Arial" w:eastAsia="Arial" w:hAnsi="Arial"/>
                <w:sz w:val="18"/>
                <w:szCs w:val="18"/>
                <w:i w:val="1"/>
                <w:iCs w:val="1"/>
                <w:color w:val="auto"/>
              </w:rPr>
              <w:t>3,800,000</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6,500,000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500"/>
              <w:spacing w:after="0"/>
              <w:rPr>
                <w:sz w:val="20"/>
                <w:szCs w:val="20"/>
                <w:color w:val="auto"/>
              </w:rPr>
            </w:pPr>
            <w:r>
              <w:rPr>
                <w:rFonts w:ascii="Arial" w:cs="Arial" w:eastAsia="Arial" w:hAnsi="Arial"/>
                <w:sz w:val="18"/>
                <w:szCs w:val="18"/>
                <w:i w:val="1"/>
                <w:iCs w:val="1"/>
                <w:color w:val="auto"/>
              </w:rPr>
              <w:t>Performance Stock Options Granted</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100"/>
              <w:spacing w:after="0"/>
              <w:rPr>
                <w:sz w:val="20"/>
                <w:szCs w:val="20"/>
                <w:color w:val="auto"/>
              </w:rPr>
            </w:pPr>
            <w:r>
              <w:rPr>
                <w:rFonts w:ascii="Arial" w:cs="Arial" w:eastAsia="Arial" w:hAnsi="Arial"/>
                <w:sz w:val="18"/>
                <w:szCs w:val="18"/>
                <w:color w:val="auto"/>
              </w:rPr>
              <w:t>C Total Awards Granted During Fiscal Year [A + B]</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8,800,000</w:t>
            </w:r>
            <w:r>
              <w:rPr>
                <w:rFonts w:ascii="Arial" w:cs="Arial" w:eastAsia="Arial" w:hAnsi="Arial"/>
                <w:sz w:val="15"/>
                <w:szCs w:val="15"/>
                <w:color w:val="auto"/>
              </w:rPr>
              <w:t>(1)</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9,100,000</w:t>
            </w:r>
            <w:r>
              <w:rPr>
                <w:rFonts w:ascii="Arial" w:cs="Arial" w:eastAsia="Arial" w:hAnsi="Arial"/>
                <w:sz w:val="15"/>
                <w:szCs w:val="15"/>
                <w:color w:val="auto"/>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12,700,000</w:t>
            </w:r>
            <w:r>
              <w:rPr>
                <w:rFonts w:ascii="Arial" w:cs="Arial" w:eastAsia="Arial" w:hAnsi="Arial"/>
                <w:sz w:val="15"/>
                <w:szCs w:val="15"/>
                <w:color w:val="auto"/>
              </w:rPr>
              <w:t>(3)</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100"/>
              <w:spacing w:after="0"/>
              <w:rPr>
                <w:sz w:val="20"/>
                <w:szCs w:val="20"/>
                <w:color w:val="auto"/>
              </w:rPr>
            </w:pPr>
            <w:r>
              <w:rPr>
                <w:rFonts w:ascii="Arial" w:cs="Arial" w:eastAsia="Arial" w:hAnsi="Arial"/>
                <w:sz w:val="18"/>
                <w:szCs w:val="18"/>
                <w:color w:val="auto"/>
              </w:rPr>
              <w:t>D Basic Weighted-Average GM Common Stock Outstanding</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1,424,000,000</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1,411,000,000</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1,465,000,000</w:t>
            </w:r>
          </w:p>
        </w:tc>
        <w:tc>
          <w:tcPr>
            <w:tcW w:w="920" w:type="dxa"/>
            <w:vAlign w:val="bottom"/>
          </w:tcPr>
          <w:p>
            <w:pPr>
              <w:spacing w:after="0"/>
              <w:rPr>
                <w:sz w:val="23"/>
                <w:szCs w:val="23"/>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73"/>
        </w:trPr>
        <w:tc>
          <w:tcPr>
            <w:tcW w:w="5160" w:type="dxa"/>
            <w:vAlign w:val="bottom"/>
          </w:tcPr>
          <w:p>
            <w:pPr>
              <w:ind w:left="260"/>
              <w:spacing w:after="0"/>
              <w:rPr>
                <w:sz w:val="20"/>
                <w:szCs w:val="20"/>
                <w:color w:val="auto"/>
              </w:rPr>
            </w:pPr>
            <w:r>
              <w:rPr>
                <w:rFonts w:ascii="Arial" w:cs="Arial" w:eastAsia="Arial" w:hAnsi="Arial"/>
                <w:sz w:val="18"/>
                <w:szCs w:val="18"/>
                <w:color w:val="auto"/>
              </w:rPr>
              <w:t>Burn Rate Including Performance Awards Granted [C / D]</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0.6%</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68"/>
        </w:trPr>
        <w:tc>
          <w:tcPr>
            <w:tcW w:w="5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57"/>
        </w:trPr>
        <w:tc>
          <w:tcPr>
            <w:tcW w:w="5160" w:type="dxa"/>
            <w:vAlign w:val="bottom"/>
          </w:tcPr>
          <w:p>
            <w:pPr>
              <w:ind w:left="260"/>
              <w:spacing w:after="0"/>
              <w:rPr>
                <w:sz w:val="20"/>
                <w:szCs w:val="20"/>
                <w:color w:val="auto"/>
              </w:rPr>
            </w:pPr>
            <w:r>
              <w:rPr>
                <w:rFonts w:ascii="Arial" w:cs="Arial" w:eastAsia="Arial" w:hAnsi="Arial"/>
                <w:sz w:val="18"/>
                <w:szCs w:val="18"/>
                <w:color w:val="auto"/>
              </w:rPr>
              <w:t>Burn Rate Including Performance Awards Vested/Earned</w:t>
            </w:r>
          </w:p>
        </w:tc>
        <w:tc>
          <w:tcPr>
            <w:tcW w:w="1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(4)</w:t>
            </w:r>
            <w:r>
              <w:rPr>
                <w:rFonts w:ascii="Arial" w:cs="Arial" w:eastAsia="Arial" w:hAnsi="Arial"/>
                <w:sz w:val="18"/>
                <w:szCs w:val="18"/>
                <w:color w:val="auto"/>
              </w:rPr>
              <w:t xml:space="preserve"> / D]</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ind w:left="600" w:hanging="433"/>
        <w:spacing w:after="0"/>
        <w:tabs>
          <w:tab w:leader="none" w:pos="60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100,000 stock-based units that are required to be settled in cash pursuant to award agreements.</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4,600,000 stock-based units that are required to be settled in cash pursuant to award agreements.</w:t>
      </w:r>
    </w:p>
    <w:p>
      <w:pPr>
        <w:spacing w:after="0" w:line="73" w:lineRule="exact"/>
        <w:rPr>
          <w:rFonts w:ascii="Arial" w:cs="Arial" w:eastAsia="Arial" w:hAnsi="Arial"/>
          <w:sz w:val="18"/>
          <w:szCs w:val="18"/>
          <w:i w:val="1"/>
          <w:iCs w:val="1"/>
          <w:color w:val="auto"/>
        </w:rPr>
      </w:pPr>
    </w:p>
    <w:p>
      <w:pPr>
        <w:ind w:left="600" w:hanging="433"/>
        <w:spacing w:after="0"/>
        <w:tabs>
          <w:tab w:leader="none" w:pos="60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4,000,000 stock-based units that are required to be settled in cash pursuant to award agreements.</w:t>
      </w:r>
    </w:p>
    <w:p>
      <w:pPr>
        <w:spacing w:after="0" w:line="73" w:lineRule="exact"/>
        <w:rPr>
          <w:rFonts w:ascii="Arial" w:cs="Arial" w:eastAsia="Arial" w:hAnsi="Arial"/>
          <w:sz w:val="18"/>
          <w:szCs w:val="18"/>
          <w:i w:val="1"/>
          <w:iCs w:val="1"/>
          <w:color w:val="auto"/>
        </w:rPr>
      </w:pPr>
    </w:p>
    <w:p>
      <w:pPr>
        <w:jc w:val="both"/>
        <w:ind w:left="600" w:right="20" w:hanging="433"/>
        <w:spacing w:after="0" w:line="246" w:lineRule="auto"/>
        <w:tabs>
          <w:tab w:leader="none" w:pos="60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Awards with performance conditions include PSUs and performance stock options. Stock-based units that are required to be settled in cash pursuant to award agreements have been excluded. The following table details the amounts granted and vested or earned in the last three fiscal years to all eligible participants:</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300" w:type="dxa"/>
            <w:vAlign w:val="bottom"/>
            <w:tcBorders>
              <w:top w:val="single" w:sz="8" w:color="00A1DF"/>
            </w:tcBorders>
          </w:tcPr>
          <w:p>
            <w:pPr>
              <w:spacing w:after="0"/>
              <w:rPr>
                <w:sz w:val="18"/>
                <w:szCs w:val="18"/>
                <w:color w:val="auto"/>
              </w:rPr>
            </w:pPr>
          </w:p>
        </w:tc>
        <w:tc>
          <w:tcPr>
            <w:tcW w:w="4520" w:type="dxa"/>
            <w:vAlign w:val="bottom"/>
            <w:tcBorders>
              <w:top w:val="single" w:sz="8" w:color="00A1DF"/>
            </w:tcBorders>
          </w:tcPr>
          <w:p>
            <w:pPr>
              <w:spacing w:after="0"/>
              <w:rPr>
                <w:sz w:val="18"/>
                <w:szCs w:val="18"/>
                <w:color w:val="auto"/>
              </w:rPr>
            </w:pPr>
          </w:p>
        </w:tc>
        <w:tc>
          <w:tcPr>
            <w:tcW w:w="2100" w:type="dxa"/>
            <w:vAlign w:val="bottom"/>
            <w:tcBorders>
              <w:top w:val="single" w:sz="8" w:color="00A1DF"/>
            </w:tcBorders>
          </w:tcPr>
          <w:p>
            <w:pPr>
              <w:jc w:val="right"/>
              <w:spacing w:after="0" w:line="213" w:lineRule="exact"/>
              <w:rPr>
                <w:sz w:val="20"/>
                <w:szCs w:val="20"/>
                <w:color w:val="auto"/>
              </w:rPr>
            </w:pPr>
            <w:r>
              <w:rPr>
                <w:rFonts w:ascii="Arial" w:cs="Arial" w:eastAsia="Arial" w:hAnsi="Arial"/>
                <w:sz w:val="20"/>
                <w:szCs w:val="20"/>
                <w:b w:val="1"/>
                <w:bCs w:val="1"/>
                <w:color w:val="00A1DF"/>
              </w:rPr>
              <w:t>Number of</w:t>
            </w:r>
          </w:p>
        </w:tc>
      </w:tr>
      <w:tr>
        <w:trPr>
          <w:trHeight w:val="214"/>
        </w:trPr>
        <w:tc>
          <w:tcPr>
            <w:tcW w:w="4300" w:type="dxa"/>
            <w:vAlign w:val="bottom"/>
          </w:tcPr>
          <w:p>
            <w:pPr>
              <w:spacing w:after="0"/>
              <w:rPr>
                <w:sz w:val="18"/>
                <w:szCs w:val="18"/>
                <w:color w:val="auto"/>
              </w:rPr>
            </w:pPr>
          </w:p>
        </w:tc>
        <w:tc>
          <w:tcPr>
            <w:tcW w:w="4520" w:type="dxa"/>
            <w:vAlign w:val="bottom"/>
          </w:tcPr>
          <w:p>
            <w:pPr>
              <w:jc w:val="right"/>
              <w:ind w:right="609"/>
              <w:spacing w:after="0" w:line="214" w:lineRule="exact"/>
              <w:rPr>
                <w:sz w:val="20"/>
                <w:szCs w:val="20"/>
                <w:color w:val="auto"/>
              </w:rPr>
            </w:pPr>
            <w:r>
              <w:rPr>
                <w:rFonts w:ascii="Arial" w:cs="Arial" w:eastAsia="Arial" w:hAnsi="Arial"/>
                <w:sz w:val="20"/>
                <w:szCs w:val="20"/>
                <w:b w:val="1"/>
                <w:bCs w:val="1"/>
                <w:color w:val="00A1DF"/>
              </w:rPr>
              <w:t>Number of</w:t>
            </w:r>
          </w:p>
        </w:tc>
        <w:tc>
          <w:tcPr>
            <w:tcW w:w="2100" w:type="dxa"/>
            <w:vAlign w:val="bottom"/>
          </w:tcPr>
          <w:p>
            <w:pPr>
              <w:jc w:val="right"/>
              <w:spacing w:after="0" w:line="214" w:lineRule="exact"/>
              <w:rPr>
                <w:sz w:val="20"/>
                <w:szCs w:val="20"/>
                <w:color w:val="auto"/>
              </w:rPr>
            </w:pPr>
            <w:r>
              <w:rPr>
                <w:rFonts w:ascii="Arial" w:cs="Arial" w:eastAsia="Arial" w:hAnsi="Arial"/>
                <w:sz w:val="20"/>
                <w:szCs w:val="20"/>
                <w:b w:val="1"/>
                <w:bCs w:val="1"/>
                <w:color w:val="00A1DF"/>
              </w:rPr>
              <w:t>Performance</w:t>
            </w:r>
          </w:p>
        </w:tc>
      </w:tr>
      <w:tr>
        <w:trPr>
          <w:trHeight w:val="259"/>
        </w:trPr>
        <w:tc>
          <w:tcPr>
            <w:tcW w:w="4300" w:type="dxa"/>
            <w:vAlign w:val="bottom"/>
          </w:tcPr>
          <w:p>
            <w:pPr>
              <w:spacing w:after="0"/>
              <w:rPr>
                <w:sz w:val="22"/>
                <w:szCs w:val="22"/>
                <w:color w:val="auto"/>
              </w:rPr>
            </w:pPr>
          </w:p>
        </w:tc>
        <w:tc>
          <w:tcPr>
            <w:tcW w:w="4520" w:type="dxa"/>
            <w:vAlign w:val="bottom"/>
          </w:tcPr>
          <w:p>
            <w:pPr>
              <w:jc w:val="right"/>
              <w:ind w:right="609"/>
              <w:spacing w:after="0"/>
              <w:rPr>
                <w:sz w:val="20"/>
                <w:szCs w:val="20"/>
                <w:color w:val="auto"/>
              </w:rPr>
            </w:pPr>
            <w:r>
              <w:rPr>
                <w:rFonts w:ascii="Arial" w:cs="Arial" w:eastAsia="Arial" w:hAnsi="Arial"/>
                <w:sz w:val="20"/>
                <w:szCs w:val="20"/>
                <w:b w:val="1"/>
                <w:bCs w:val="1"/>
                <w:color w:val="00A1DF"/>
              </w:rPr>
              <w:t>PSUs</w:t>
            </w:r>
          </w:p>
        </w:tc>
        <w:tc>
          <w:tcPr>
            <w:tcW w:w="2100" w:type="dxa"/>
            <w:vAlign w:val="bottom"/>
          </w:tcPr>
          <w:p>
            <w:pPr>
              <w:jc w:val="right"/>
              <w:spacing w:after="0"/>
              <w:rPr>
                <w:sz w:val="20"/>
                <w:szCs w:val="20"/>
                <w:color w:val="auto"/>
              </w:rPr>
            </w:pPr>
            <w:r>
              <w:rPr>
                <w:rFonts w:ascii="Arial" w:cs="Arial" w:eastAsia="Arial" w:hAnsi="Arial"/>
                <w:sz w:val="20"/>
                <w:szCs w:val="20"/>
                <w:b w:val="1"/>
                <w:bCs w:val="1"/>
                <w:color w:val="00A1DF"/>
              </w:rPr>
              <w:t>Stock Options</w:t>
            </w:r>
          </w:p>
        </w:tc>
      </w:tr>
      <w:tr>
        <w:trPr>
          <w:trHeight w:val="76"/>
        </w:trPr>
        <w:tc>
          <w:tcPr>
            <w:tcW w:w="4300" w:type="dxa"/>
            <w:vAlign w:val="bottom"/>
            <w:tcBorders>
              <w:bottom w:val="single" w:sz="8" w:color="00A1DF"/>
            </w:tcBorders>
          </w:tcPr>
          <w:p>
            <w:pPr>
              <w:spacing w:after="0"/>
              <w:rPr>
                <w:sz w:val="6"/>
                <w:szCs w:val="6"/>
                <w:color w:val="auto"/>
              </w:rPr>
            </w:pPr>
          </w:p>
        </w:tc>
        <w:tc>
          <w:tcPr>
            <w:tcW w:w="4520" w:type="dxa"/>
            <w:vAlign w:val="bottom"/>
            <w:tcBorders>
              <w:bottom w:val="single" w:sz="8" w:color="00A1DF"/>
            </w:tcBorders>
          </w:tcPr>
          <w:p>
            <w:pPr>
              <w:spacing w:after="0"/>
              <w:rPr>
                <w:sz w:val="6"/>
                <w:szCs w:val="6"/>
                <w:color w:val="auto"/>
              </w:rPr>
            </w:pPr>
          </w:p>
        </w:tc>
        <w:tc>
          <w:tcPr>
            <w:tcW w:w="2100" w:type="dxa"/>
            <w:vAlign w:val="bottom"/>
            <w:tcBorders>
              <w:bottom w:val="single" w:sz="8" w:color="00A1DF"/>
            </w:tcBorders>
          </w:tcPr>
          <w:p>
            <w:pPr>
              <w:spacing w:after="0"/>
              <w:rPr>
                <w:sz w:val="6"/>
                <w:szCs w:val="6"/>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2017</w:t>
            </w:r>
          </w:p>
        </w:tc>
        <w:tc>
          <w:tcPr>
            <w:tcW w:w="45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82"/>
        </w:trPr>
        <w:tc>
          <w:tcPr>
            <w:tcW w:w="430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Granted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5,200,000</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430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Vested or Earned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6,500,000</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430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2018</w:t>
            </w:r>
          </w:p>
        </w:tc>
        <w:tc>
          <w:tcPr>
            <w:tcW w:w="45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82"/>
        </w:trPr>
        <w:tc>
          <w:tcPr>
            <w:tcW w:w="430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Granted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4,400,000</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430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Vested or Earned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6,500,000</w:t>
            </w:r>
          </w:p>
        </w:tc>
        <w:tc>
          <w:tcPr>
            <w:tcW w:w="2100" w:type="dxa"/>
            <w:vAlign w:val="bottom"/>
          </w:tcPr>
          <w:p>
            <w:pPr>
              <w:jc w:val="right"/>
              <w:spacing w:after="0"/>
              <w:rPr>
                <w:sz w:val="20"/>
                <w:szCs w:val="20"/>
                <w:color w:val="auto"/>
              </w:rPr>
            </w:pPr>
            <w:r>
              <w:rPr>
                <w:rFonts w:ascii="Arial" w:cs="Arial" w:eastAsia="Arial" w:hAnsi="Arial"/>
                <w:sz w:val="18"/>
                <w:szCs w:val="18"/>
                <w:color w:val="auto"/>
              </w:rPr>
              <w:t>4,800,000</w:t>
            </w:r>
          </w:p>
        </w:tc>
      </w:tr>
      <w:tr>
        <w:trPr>
          <w:trHeight w:val="68"/>
        </w:trPr>
        <w:tc>
          <w:tcPr>
            <w:tcW w:w="430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b w:val="1"/>
                <w:bCs w:val="1"/>
                <w:color w:val="auto"/>
              </w:rPr>
              <w:t>2019</w:t>
            </w:r>
          </w:p>
        </w:tc>
        <w:tc>
          <w:tcPr>
            <w:tcW w:w="45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82"/>
        </w:trPr>
        <w:tc>
          <w:tcPr>
            <w:tcW w:w="430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Granted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4,100,000</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430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273"/>
        </w:trPr>
        <w:tc>
          <w:tcPr>
            <w:tcW w:w="4300" w:type="dxa"/>
            <w:vAlign w:val="bottom"/>
          </w:tcPr>
          <w:p>
            <w:pPr>
              <w:ind w:left="100"/>
              <w:spacing w:after="0"/>
              <w:rPr>
                <w:sz w:val="20"/>
                <w:szCs w:val="20"/>
                <w:color w:val="auto"/>
              </w:rPr>
            </w:pPr>
            <w:r>
              <w:rPr>
                <w:rFonts w:ascii="Arial" w:cs="Arial" w:eastAsia="Arial" w:hAnsi="Arial"/>
                <w:sz w:val="18"/>
                <w:szCs w:val="18"/>
                <w:color w:val="auto"/>
              </w:rPr>
              <w:t>Vested or Earned</w:t>
            </w:r>
          </w:p>
        </w:tc>
        <w:tc>
          <w:tcPr>
            <w:tcW w:w="4520" w:type="dxa"/>
            <w:vAlign w:val="bottom"/>
          </w:tcPr>
          <w:p>
            <w:pPr>
              <w:jc w:val="right"/>
              <w:ind w:right="609"/>
              <w:spacing w:after="0"/>
              <w:rPr>
                <w:sz w:val="20"/>
                <w:szCs w:val="20"/>
                <w:color w:val="auto"/>
              </w:rPr>
            </w:pPr>
            <w:r>
              <w:rPr>
                <w:rFonts w:ascii="Arial" w:cs="Arial" w:eastAsia="Arial" w:hAnsi="Arial"/>
                <w:sz w:val="18"/>
                <w:szCs w:val="18"/>
                <w:color w:val="auto"/>
              </w:rPr>
              <w:t>8,500,000</w:t>
            </w:r>
          </w:p>
        </w:tc>
        <w:tc>
          <w:tcPr>
            <w:tcW w:w="2100" w:type="dxa"/>
            <w:vAlign w:val="bottom"/>
          </w:tcPr>
          <w:p>
            <w:pPr>
              <w:jc w:val="right"/>
              <w:spacing w:after="0"/>
              <w:rPr>
                <w:sz w:val="20"/>
                <w:szCs w:val="20"/>
                <w:color w:val="auto"/>
              </w:rPr>
            </w:pPr>
            <w:r>
              <w:rPr>
                <w:rFonts w:ascii="Arial" w:cs="Arial" w:eastAsia="Arial" w:hAnsi="Arial"/>
                <w:sz w:val="18"/>
                <w:szCs w:val="18"/>
                <w:color w:val="auto"/>
              </w:rPr>
              <w:t>4,400,000</w:t>
            </w:r>
          </w:p>
        </w:tc>
      </w:tr>
      <w:tr>
        <w:trPr>
          <w:trHeight w:val="68"/>
        </w:trPr>
        <w:tc>
          <w:tcPr>
            <w:tcW w:w="4300" w:type="dxa"/>
            <w:vAlign w:val="bottom"/>
            <w:tcBorders>
              <w:bottom w:val="single" w:sz="8" w:color="0033A0"/>
            </w:tcBorders>
          </w:tcPr>
          <w:p>
            <w:pPr>
              <w:spacing w:after="0"/>
              <w:rPr>
                <w:sz w:val="5"/>
                <w:szCs w:val="5"/>
                <w:color w:val="auto"/>
              </w:rPr>
            </w:pPr>
          </w:p>
        </w:tc>
        <w:tc>
          <w:tcPr>
            <w:tcW w:w="4520" w:type="dxa"/>
            <w:vAlign w:val="bottom"/>
            <w:tcBorders>
              <w:bottom w:val="single" w:sz="8" w:color="0033A0"/>
            </w:tcBorders>
          </w:tcPr>
          <w:p>
            <w:pPr>
              <w:spacing w:after="0"/>
              <w:rPr>
                <w:sz w:val="5"/>
                <w:szCs w:val="5"/>
                <w:color w:val="auto"/>
              </w:rPr>
            </w:pPr>
          </w:p>
        </w:tc>
        <w:tc>
          <w:tcPr>
            <w:tcW w:w="2100" w:type="dxa"/>
            <w:vAlign w:val="bottom"/>
            <w:tcBorders>
              <w:bottom w:val="single" w:sz="8" w:color="0033A0"/>
            </w:tcBorders>
          </w:tcPr>
          <w:p>
            <w:pPr>
              <w:spacing w:after="0"/>
              <w:rPr>
                <w:sz w:val="5"/>
                <w:szCs w:val="5"/>
                <w:color w:val="auto"/>
              </w:rPr>
            </w:pPr>
          </w:p>
        </w:tc>
      </w:tr>
    </w:tbl>
    <w:p>
      <w:pPr>
        <w:spacing w:after="0" w:line="120"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20"/>
          <w:szCs w:val="20"/>
          <w:b w:val="1"/>
          <w:bCs w:val="1"/>
          <w:color w:val="0033A0"/>
        </w:rPr>
        <w:t xml:space="preserve">Stock Repurchase Program – </w:t>
      </w:r>
      <w:r>
        <w:rPr>
          <w:rFonts w:ascii="Arial" w:cs="Arial" w:eastAsia="Arial" w:hAnsi="Arial"/>
          <w:sz w:val="20"/>
          <w:szCs w:val="20"/>
          <w:color w:val="000000"/>
        </w:rPr>
        <w:t>Our stock repurchase program has more than offset the dilution of our equity incentive</w:t>
      </w:r>
      <w:r>
        <w:rPr>
          <w:rFonts w:ascii="Arial" w:cs="Arial" w:eastAsia="Arial" w:hAnsi="Arial"/>
          <w:sz w:val="20"/>
          <w:szCs w:val="20"/>
          <w:b w:val="1"/>
          <w:bCs w:val="1"/>
          <w:color w:val="0033A0"/>
        </w:rPr>
        <w:t xml:space="preserve"> </w:t>
      </w:r>
      <w:r>
        <w:rPr>
          <w:rFonts w:ascii="Arial" w:cs="Arial" w:eastAsia="Arial" w:hAnsi="Arial"/>
          <w:sz w:val="20"/>
          <w:szCs w:val="20"/>
          <w:color w:val="000000"/>
        </w:rPr>
        <w:t>programs. We have repurchased 123 million shares since 2017. Note repurchased shares are not available for issuance under the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83</w:t>
      </w:r>
    </w:p>
    <w:p>
      <w:pPr>
        <w:sectPr>
          <w:pgSz w:w="11900" w:h="16838" w:orient="portrait"/>
          <w:cols w:equalWidth="0" w:num="1">
            <w:col w:w="11100"/>
          </w:cols>
          <w:pgMar w:left="320" w:top="456"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30"/>
        </w:numPr>
        <w:rPr>
          <w:rFonts w:ascii="Arial" w:cs="Arial" w:eastAsia="Arial" w:hAnsi="Arial"/>
          <w:sz w:val="25"/>
          <w:szCs w:val="25"/>
          <w:color w:val="0033A0"/>
        </w:rPr>
      </w:pPr>
      <w:r>
        <w:rPr>
          <w:rFonts w:ascii="Arial" w:cs="Arial" w:eastAsia="Arial" w:hAnsi="Arial"/>
          <w:sz w:val="25"/>
          <w:szCs w:val="25"/>
          <w:color w:val="auto"/>
        </w:rPr>
        <w:t>Summary of the 2020 LTIP</w:t>
      </w:r>
    </w:p>
    <w:p>
      <w:pPr>
        <w:spacing w:after="0" w:line="149" w:lineRule="exact"/>
        <w:rPr>
          <w:sz w:val="20"/>
          <w:szCs w:val="20"/>
          <w:color w:val="auto"/>
        </w:rPr>
      </w:pPr>
    </w:p>
    <w:p>
      <w:pPr>
        <w:ind w:left="160"/>
        <w:spacing w:after="0" w:line="234" w:lineRule="auto"/>
        <w:rPr>
          <w:sz w:val="20"/>
          <w:szCs w:val="20"/>
          <w:color w:val="auto"/>
        </w:rPr>
      </w:pPr>
      <w:r>
        <w:rPr>
          <w:rFonts w:ascii="Arial" w:cs="Arial" w:eastAsia="Arial" w:hAnsi="Arial"/>
          <w:sz w:val="20"/>
          <w:szCs w:val="20"/>
          <w:color w:val="auto"/>
        </w:rPr>
        <w:t>The following summary is qualified in its entirety by reference to the complete text of the 2020 LTIP, which is attached as Appendix B to this Proxy Statement.</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1940" w:type="dxa"/>
            <w:vAlign w:val="bottom"/>
            <w:tcBorders>
              <w:top w:val="single" w:sz="8" w:color="00A1DF"/>
            </w:tcBorders>
          </w:tcPr>
          <w:p>
            <w:pPr>
              <w:spacing w:after="0"/>
              <w:rPr>
                <w:sz w:val="20"/>
                <w:szCs w:val="20"/>
                <w:color w:val="auto"/>
              </w:rPr>
            </w:pPr>
            <w:r>
              <w:rPr>
                <w:rFonts w:ascii="Arial" w:cs="Arial" w:eastAsia="Arial" w:hAnsi="Arial"/>
                <w:sz w:val="19"/>
                <w:szCs w:val="19"/>
                <w:b w:val="1"/>
                <w:bCs w:val="1"/>
                <w:color w:val="00A1DF"/>
              </w:rPr>
              <w:t>Key Provisions</w:t>
            </w:r>
          </w:p>
        </w:tc>
        <w:tc>
          <w:tcPr>
            <w:tcW w:w="8980" w:type="dxa"/>
            <w:vAlign w:val="bottom"/>
            <w:tcBorders>
              <w:top w:val="single" w:sz="8" w:color="00A1DF"/>
            </w:tcBorders>
          </w:tcPr>
          <w:p>
            <w:pPr>
              <w:ind w:left="260"/>
              <w:spacing w:after="0"/>
              <w:rPr>
                <w:sz w:val="20"/>
                <w:szCs w:val="20"/>
                <w:color w:val="auto"/>
              </w:rPr>
            </w:pPr>
            <w:r>
              <w:rPr>
                <w:rFonts w:ascii="Arial" w:cs="Arial" w:eastAsia="Arial" w:hAnsi="Arial"/>
                <w:sz w:val="19"/>
                <w:szCs w:val="19"/>
                <w:b w:val="1"/>
                <w:bCs w:val="1"/>
                <w:color w:val="00A1DF"/>
              </w:rPr>
              <w:t>Description</w:t>
            </w:r>
          </w:p>
        </w:tc>
        <w:tc>
          <w:tcPr>
            <w:tcW w:w="0" w:type="dxa"/>
            <w:vAlign w:val="bottom"/>
          </w:tcPr>
          <w:p>
            <w:pPr>
              <w:spacing w:after="0"/>
              <w:rPr>
                <w:sz w:val="1"/>
                <w:szCs w:val="1"/>
                <w:color w:val="auto"/>
              </w:rPr>
            </w:pPr>
          </w:p>
        </w:tc>
      </w:tr>
      <w:tr>
        <w:trPr>
          <w:trHeight w:val="60"/>
        </w:trPr>
        <w:tc>
          <w:tcPr>
            <w:tcW w:w="1940" w:type="dxa"/>
            <w:vAlign w:val="bottom"/>
            <w:tcBorders>
              <w:bottom w:val="single" w:sz="8" w:color="00A1DF"/>
            </w:tcBorders>
          </w:tcPr>
          <w:p>
            <w:pPr>
              <w:spacing w:after="0"/>
              <w:rPr>
                <w:sz w:val="5"/>
                <w:szCs w:val="5"/>
                <w:color w:val="auto"/>
              </w:rPr>
            </w:pPr>
          </w:p>
        </w:tc>
        <w:tc>
          <w:tcPr>
            <w:tcW w:w="8980" w:type="dxa"/>
            <w:vAlign w:val="bottom"/>
            <w:tcBorders>
              <w:bottom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Eligible</w:t>
            </w:r>
          </w:p>
        </w:tc>
        <w:tc>
          <w:tcPr>
            <w:tcW w:w="8980" w:type="dxa"/>
            <w:vAlign w:val="bottom"/>
          </w:tcPr>
          <w:p>
            <w:pPr>
              <w:ind w:left="260"/>
              <w:spacing w:after="0"/>
              <w:rPr>
                <w:sz w:val="20"/>
                <w:szCs w:val="20"/>
                <w:color w:val="auto"/>
              </w:rPr>
            </w:pPr>
            <w:r>
              <w:rPr>
                <w:rFonts w:ascii="Arial" w:cs="Arial" w:eastAsia="Arial" w:hAnsi="Arial"/>
                <w:sz w:val="19"/>
                <w:szCs w:val="19"/>
                <w:color w:val="auto"/>
              </w:rPr>
              <w:t>Officers, employees, consultants, advisors, and non-employee directors who are designated by the</w:t>
            </w:r>
          </w:p>
        </w:tc>
        <w:tc>
          <w:tcPr>
            <w:tcW w:w="0" w:type="dxa"/>
            <w:vAlign w:val="bottom"/>
          </w:tcPr>
          <w:p>
            <w:pPr>
              <w:spacing w:after="0"/>
              <w:rPr>
                <w:sz w:val="1"/>
                <w:szCs w:val="1"/>
                <w:color w:val="auto"/>
              </w:rPr>
            </w:pPr>
          </w:p>
        </w:tc>
      </w:tr>
      <w:tr>
        <w:trPr>
          <w:trHeight w:val="247"/>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Participants</w:t>
            </w:r>
          </w:p>
        </w:tc>
        <w:tc>
          <w:tcPr>
            <w:tcW w:w="8980" w:type="dxa"/>
            <w:vAlign w:val="bottom"/>
          </w:tcPr>
          <w:p>
            <w:pPr>
              <w:ind w:left="260"/>
              <w:spacing w:after="0"/>
              <w:rPr>
                <w:sz w:val="20"/>
                <w:szCs w:val="20"/>
                <w:color w:val="auto"/>
              </w:rPr>
            </w:pPr>
            <w:r>
              <w:rPr>
                <w:rFonts w:ascii="Arial" w:cs="Arial" w:eastAsia="Arial" w:hAnsi="Arial"/>
                <w:sz w:val="19"/>
                <w:szCs w:val="19"/>
                <w:color w:val="auto"/>
              </w:rPr>
              <w:t>Compensation Committee to participate in the 2020 LTIP.</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Shares Subject to</w:t>
            </w:r>
          </w:p>
        </w:tc>
        <w:tc>
          <w:tcPr>
            <w:tcW w:w="8980" w:type="dxa"/>
            <w:vAlign w:val="bottom"/>
          </w:tcPr>
          <w:p>
            <w:pPr>
              <w:ind w:left="260"/>
              <w:spacing w:after="0"/>
              <w:rPr>
                <w:sz w:val="20"/>
                <w:szCs w:val="20"/>
                <w:color w:val="auto"/>
              </w:rPr>
            </w:pPr>
            <w:r>
              <w:rPr>
                <w:rFonts w:ascii="Arial" w:cs="Arial" w:eastAsia="Arial" w:hAnsi="Arial"/>
                <w:sz w:val="19"/>
                <w:szCs w:val="19"/>
                <w:color w:val="auto"/>
                <w:w w:val="99"/>
              </w:rPr>
              <w:t>The 2020 LTIP authorizes a pool of 50 million shares of common stock from which stock options, SARs,</w:t>
            </w: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rPr>
              <w:t>restricted stock, RSUs, performance awards, and other stock-based awards may be granted. No more</w:t>
            </w:r>
          </w:p>
        </w:tc>
        <w:tc>
          <w:tcPr>
            <w:tcW w:w="0" w:type="dxa"/>
            <w:vAlign w:val="bottom"/>
          </w:tcPr>
          <w:p>
            <w:pPr>
              <w:spacing w:after="0"/>
              <w:rPr>
                <w:sz w:val="1"/>
                <w:szCs w:val="1"/>
                <w:color w:val="auto"/>
              </w:rPr>
            </w:pPr>
          </w:p>
        </w:tc>
      </w:tr>
      <w:tr>
        <w:trPr>
          <w:trHeight w:val="12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Plan</w:t>
            </w: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rPr>
                <w:sz w:val="20"/>
                <w:szCs w:val="20"/>
                <w:color w:val="auto"/>
              </w:rPr>
            </w:pPr>
            <w:r>
              <w:rPr>
                <w:rFonts w:ascii="Arial" w:cs="Arial" w:eastAsia="Arial" w:hAnsi="Arial"/>
                <w:sz w:val="19"/>
                <w:szCs w:val="19"/>
                <w:color w:val="auto"/>
              </w:rPr>
              <w:t>than 50 million shares may be issued as incentive stock options.</w:t>
            </w: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The 2020 LTIP is administered by the Compensation Committee, which has the authority to: designate</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8"/>
              </w:rPr>
              <w:t>the eligible individuals who will receive awards; determine the type, amounts and terms and conditions of</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awards (including vesting terms); determine amounts payable that may be deferred; interpret and</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Plan</w:t>
            </w: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administer the 2020 LTIP; prescribe the form of award documentation under the 2020 LTIP; establish,</w:t>
            </w: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rPr>
              <w:t>amend, suspend, or waive any rules and regulations under the 2020 LTIP; and make any other</w:t>
            </w:r>
          </w:p>
        </w:tc>
        <w:tc>
          <w:tcPr>
            <w:tcW w:w="0" w:type="dxa"/>
            <w:vAlign w:val="bottom"/>
          </w:tcPr>
          <w:p>
            <w:pPr>
              <w:spacing w:after="0"/>
              <w:rPr>
                <w:sz w:val="1"/>
                <w:szCs w:val="1"/>
                <w:color w:val="auto"/>
              </w:rPr>
            </w:pPr>
          </w:p>
        </w:tc>
      </w:tr>
      <w:tr>
        <w:trPr>
          <w:trHeight w:val="12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Administration</w:t>
            </w: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w w:val="99"/>
              </w:rPr>
              <w:t>determinations or take any other actions to administer the 2020 LTIP. Subject to the limits established by</w:t>
            </w:r>
          </w:p>
        </w:tc>
        <w:tc>
          <w:tcPr>
            <w:tcW w:w="0" w:type="dxa"/>
            <w:vAlign w:val="bottom"/>
          </w:tcPr>
          <w:p>
            <w:pPr>
              <w:spacing w:after="0"/>
              <w:rPr>
                <w:sz w:val="1"/>
                <w:szCs w:val="1"/>
                <w:color w:val="auto"/>
              </w:rPr>
            </w:pPr>
          </w:p>
        </w:tc>
      </w:tr>
      <w:tr>
        <w:trPr>
          <w:trHeight w:val="96"/>
        </w:trPr>
        <w:tc>
          <w:tcPr>
            <w:tcW w:w="1940" w:type="dxa"/>
            <w:vAlign w:val="bottom"/>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the Compensation Committee, the Compensation Committee may delegate to one or more members of</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the Compensation Committee or officers of the Company (including the CEO) the authority to grant</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awards and take other actions under the 2020 LTIP.</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Award Types</w:t>
            </w:r>
          </w:p>
        </w:tc>
        <w:tc>
          <w:tcPr>
            <w:tcW w:w="8980" w:type="dxa"/>
            <w:vAlign w:val="bottom"/>
          </w:tcPr>
          <w:p>
            <w:pPr>
              <w:ind w:left="260"/>
              <w:spacing w:after="0"/>
              <w:rPr>
                <w:sz w:val="20"/>
                <w:szCs w:val="20"/>
                <w:color w:val="auto"/>
              </w:rPr>
            </w:pPr>
            <w:r>
              <w:rPr>
                <w:rFonts w:ascii="Arial" w:cs="Arial" w:eastAsia="Arial" w:hAnsi="Arial"/>
                <w:sz w:val="19"/>
                <w:szCs w:val="19"/>
                <w:color w:val="auto"/>
                <w:w w:val="99"/>
              </w:rPr>
              <w:t>Stock options, SARs, restricted stock, RSUs, performance awards, other stock-based awards, and cash</w:t>
            </w: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rPr>
                <w:sz w:val="20"/>
                <w:szCs w:val="20"/>
                <w:color w:val="auto"/>
              </w:rPr>
            </w:pPr>
            <w:r>
              <w:rPr>
                <w:rFonts w:ascii="Arial" w:cs="Arial" w:eastAsia="Arial" w:hAnsi="Arial"/>
                <w:sz w:val="19"/>
                <w:szCs w:val="19"/>
                <w:color w:val="auto"/>
              </w:rPr>
              <w:t>incentive awards.</w:t>
            </w: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w w:val="99"/>
              </w:rPr>
              <w:t>The Compensation Committee is authorized to grant stock options to purchase shares of common stock</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Stock Options</w:t>
            </w: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(including incentive stock options) and SARs, which provide the right to receive a payment or a number</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8980" w:type="dxa"/>
            <w:vAlign w:val="bottom"/>
          </w:tcPr>
          <w:p>
            <w:pPr>
              <w:ind w:left="260"/>
              <w:spacing w:after="0" w:line="192" w:lineRule="exact"/>
              <w:rPr>
                <w:sz w:val="20"/>
                <w:szCs w:val="20"/>
                <w:color w:val="auto"/>
              </w:rPr>
            </w:pPr>
            <w:r>
              <w:rPr>
                <w:rFonts w:ascii="Arial" w:cs="Arial" w:eastAsia="Arial" w:hAnsi="Arial"/>
                <w:sz w:val="19"/>
                <w:szCs w:val="19"/>
                <w:color w:val="auto"/>
                <w:w w:val="98"/>
              </w:rPr>
              <w:t>of shares equal to the increase in value above the exercise price. The exercise price of stock options and</w:t>
            </w:r>
          </w:p>
        </w:tc>
        <w:tc>
          <w:tcPr>
            <w:tcW w:w="0" w:type="dxa"/>
            <w:vAlign w:val="bottom"/>
          </w:tcPr>
          <w:p>
            <w:pPr>
              <w:spacing w:after="0"/>
              <w:rPr>
                <w:sz w:val="1"/>
                <w:szCs w:val="1"/>
                <w:color w:val="auto"/>
              </w:rPr>
            </w:pPr>
          </w:p>
        </w:tc>
      </w:tr>
      <w:tr>
        <w:trPr>
          <w:trHeight w:val="236"/>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and SARs</w:t>
            </w:r>
          </w:p>
        </w:tc>
        <w:tc>
          <w:tcPr>
            <w:tcW w:w="8980" w:type="dxa"/>
            <w:vAlign w:val="bottom"/>
          </w:tcPr>
          <w:p>
            <w:pPr>
              <w:ind w:left="260"/>
              <w:spacing w:after="0"/>
              <w:rPr>
                <w:sz w:val="20"/>
                <w:szCs w:val="20"/>
                <w:color w:val="auto"/>
              </w:rPr>
            </w:pPr>
            <w:r>
              <w:rPr>
                <w:rFonts w:ascii="Arial" w:cs="Arial" w:eastAsia="Arial" w:hAnsi="Arial"/>
                <w:sz w:val="19"/>
                <w:szCs w:val="19"/>
                <w:color w:val="auto"/>
                <w:w w:val="98"/>
              </w:rPr>
              <w:t>SARs may not be lower than the fair market value of the underlying shares on the date of grant. The term</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9"/>
              </w:rPr>
              <w:t>of any stock option will not be more than ten years and two days (or for SARs or incentive stock options,</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ten years) from the date of grant.</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Restricted Stock</w:t>
            </w:r>
          </w:p>
        </w:tc>
        <w:tc>
          <w:tcPr>
            <w:tcW w:w="8980" w:type="dxa"/>
            <w:vAlign w:val="bottom"/>
          </w:tcPr>
          <w:p>
            <w:pPr>
              <w:ind w:left="260"/>
              <w:spacing w:after="0"/>
              <w:rPr>
                <w:sz w:val="20"/>
                <w:szCs w:val="20"/>
                <w:color w:val="auto"/>
              </w:rPr>
            </w:pPr>
            <w:r>
              <w:rPr>
                <w:rFonts w:ascii="Arial" w:cs="Arial" w:eastAsia="Arial" w:hAnsi="Arial"/>
                <w:sz w:val="19"/>
                <w:szCs w:val="19"/>
                <w:color w:val="auto"/>
              </w:rPr>
              <w:t>The Compensation Committee is authorized to grant restricted stock and RSUs, which provide the right</w:t>
            </w:r>
          </w:p>
        </w:tc>
        <w:tc>
          <w:tcPr>
            <w:tcW w:w="0" w:type="dxa"/>
            <w:vAlign w:val="bottom"/>
          </w:tcPr>
          <w:p>
            <w:pPr>
              <w:spacing w:after="0"/>
              <w:rPr>
                <w:sz w:val="1"/>
                <w:szCs w:val="1"/>
                <w:color w:val="auto"/>
              </w:rPr>
            </w:pPr>
          </w:p>
        </w:tc>
      </w:tr>
      <w:tr>
        <w:trPr>
          <w:trHeight w:val="247"/>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and RSUs</w:t>
            </w:r>
          </w:p>
        </w:tc>
        <w:tc>
          <w:tcPr>
            <w:tcW w:w="8980" w:type="dxa"/>
            <w:vAlign w:val="bottom"/>
          </w:tcPr>
          <w:p>
            <w:pPr>
              <w:ind w:left="260"/>
              <w:spacing w:after="0"/>
              <w:rPr>
                <w:sz w:val="20"/>
                <w:szCs w:val="20"/>
                <w:color w:val="auto"/>
              </w:rPr>
            </w:pPr>
            <w:r>
              <w:rPr>
                <w:rFonts w:ascii="Arial" w:cs="Arial" w:eastAsia="Arial" w:hAnsi="Arial"/>
                <w:sz w:val="19"/>
                <w:szCs w:val="19"/>
                <w:color w:val="auto"/>
              </w:rPr>
              <w:t>to receive the value of the underlying shares, either in cash, shares, or a combination thereof.</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Performance</w:t>
            </w:r>
          </w:p>
        </w:tc>
        <w:tc>
          <w:tcPr>
            <w:tcW w:w="8980" w:type="dxa"/>
            <w:vAlign w:val="bottom"/>
          </w:tcPr>
          <w:p>
            <w:pPr>
              <w:ind w:left="260"/>
              <w:spacing w:after="0"/>
              <w:rPr>
                <w:sz w:val="20"/>
                <w:szCs w:val="20"/>
                <w:color w:val="auto"/>
              </w:rPr>
            </w:pPr>
            <w:r>
              <w:rPr>
                <w:rFonts w:ascii="Arial" w:cs="Arial" w:eastAsia="Arial" w:hAnsi="Arial"/>
                <w:sz w:val="19"/>
                <w:szCs w:val="19"/>
                <w:color w:val="auto"/>
                <w:w w:val="98"/>
              </w:rPr>
              <w:t>The Compensation Committee is authorized to grant performance awards, which may be denominated in</w:t>
            </w: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rPr>
              <w:t>cash, shares, units, or a combination thereof, to be earned upon the achievement of performance</w:t>
            </w:r>
          </w:p>
        </w:tc>
        <w:tc>
          <w:tcPr>
            <w:tcW w:w="0" w:type="dxa"/>
            <w:vAlign w:val="bottom"/>
          </w:tcPr>
          <w:p>
            <w:pPr>
              <w:spacing w:after="0"/>
              <w:rPr>
                <w:sz w:val="1"/>
                <w:szCs w:val="1"/>
                <w:color w:val="auto"/>
              </w:rPr>
            </w:pPr>
          </w:p>
        </w:tc>
      </w:tr>
      <w:tr>
        <w:trPr>
          <w:trHeight w:val="12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Awards</w:t>
            </w: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rPr>
                <w:sz w:val="20"/>
                <w:szCs w:val="20"/>
                <w:color w:val="auto"/>
              </w:rPr>
            </w:pPr>
            <w:r>
              <w:rPr>
                <w:rFonts w:ascii="Arial" w:cs="Arial" w:eastAsia="Arial" w:hAnsi="Arial"/>
                <w:sz w:val="19"/>
                <w:szCs w:val="19"/>
                <w:color w:val="auto"/>
              </w:rPr>
              <w:t>conditions specified by the Compensation Committee.</w:t>
            </w: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A performance award may be subject to a formula established in advance based on the achievement</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during the performance period of one or more of the following performance criteria, expressed on an</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8"/>
              </w:rPr>
              <w:t>absolute or an adjusted basis, and which may be based on an absolute or relative measure (e.g., relative</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9"/>
              </w:rPr>
              <w:t>to the performance of other companies or an index): Asset turnover, cash flow, contribution margin, cost</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Performance</w:t>
            </w: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objectives, cost reduction, earnings before interest and taxes (EBIT), earnings before interest, taxes,</w:t>
            </w: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8980" w:type="dxa"/>
            <w:vAlign w:val="bottom"/>
          </w:tcPr>
          <w:p>
            <w:pPr>
              <w:ind w:left="260"/>
              <w:spacing w:after="0" w:line="192" w:lineRule="exact"/>
              <w:rPr>
                <w:sz w:val="20"/>
                <w:szCs w:val="20"/>
                <w:color w:val="auto"/>
              </w:rPr>
            </w:pPr>
            <w:r>
              <w:rPr>
                <w:rFonts w:ascii="Arial" w:cs="Arial" w:eastAsia="Arial" w:hAnsi="Arial"/>
                <w:sz w:val="19"/>
                <w:szCs w:val="19"/>
                <w:color w:val="auto"/>
              </w:rPr>
              <w:t>depreciation and amortization (EBITDA), earnings per share, economic value added, free cash flow,</w:t>
            </w:r>
          </w:p>
        </w:tc>
        <w:tc>
          <w:tcPr>
            <w:tcW w:w="0" w:type="dxa"/>
            <w:vAlign w:val="bottom"/>
          </w:tcPr>
          <w:p>
            <w:pPr>
              <w:spacing w:after="0"/>
              <w:rPr>
                <w:sz w:val="1"/>
                <w:szCs w:val="1"/>
                <w:color w:val="auto"/>
              </w:rPr>
            </w:pPr>
          </w:p>
        </w:tc>
      </w:tr>
      <w:tr>
        <w:trPr>
          <w:trHeight w:val="236"/>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Measures</w:t>
            </w:r>
          </w:p>
        </w:tc>
        <w:tc>
          <w:tcPr>
            <w:tcW w:w="8980" w:type="dxa"/>
            <w:vAlign w:val="bottom"/>
          </w:tcPr>
          <w:p>
            <w:pPr>
              <w:ind w:left="260"/>
              <w:spacing w:after="0"/>
              <w:rPr>
                <w:sz w:val="20"/>
                <w:szCs w:val="20"/>
                <w:color w:val="auto"/>
              </w:rPr>
            </w:pPr>
            <w:r>
              <w:rPr>
                <w:rFonts w:ascii="Arial" w:cs="Arial" w:eastAsia="Arial" w:hAnsi="Arial"/>
                <w:sz w:val="19"/>
                <w:szCs w:val="19"/>
                <w:color w:val="auto"/>
              </w:rPr>
              <w:t>increase in customer base, inventory turnover, liquidity, market share, net income, net income margin,</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operating cash flow, operating profit, operating profit margin, pre-tax income, productivity, profit margin,</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9"/>
              </w:rPr>
              <w:t>quality (internal or external measures), return on assets, return on net assets, return on capital, return on</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invested capital, return on equity, revenue, revenue growth, stockholder value, stock price, total</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8"/>
              </w:rPr>
              <w:t>shareholder return, warranty experience, and/or any other objective or subjective measure determined by</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the Compensation Committee in its sole discretion.</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93345</wp:posOffset>
            </wp:positionV>
            <wp:extent cx="6793865" cy="1016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84</w:t>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1940" w:type="dxa"/>
            <w:vAlign w:val="bottom"/>
            <w:tcBorders>
              <w:bottom w:val="single" w:sz="8" w:color="00A1DF"/>
            </w:tcBorders>
          </w:tcPr>
          <w:p>
            <w:pPr>
              <w:spacing w:after="0"/>
              <w:rPr>
                <w:sz w:val="15"/>
                <w:szCs w:val="15"/>
                <w:color w:val="auto"/>
              </w:rPr>
            </w:pPr>
          </w:p>
        </w:tc>
        <w:tc>
          <w:tcPr>
            <w:tcW w:w="8980" w:type="dxa"/>
            <w:vAlign w:val="bottom"/>
            <w:tcBorders>
              <w:bottom w:val="single" w:sz="8" w:color="00A1DF"/>
            </w:tcBorders>
          </w:tcPr>
          <w:p>
            <w:pPr>
              <w:ind w:left="208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tc>
        <w:tc>
          <w:tcPr>
            <w:tcW w:w="0" w:type="dxa"/>
            <w:vAlign w:val="bottom"/>
          </w:tcPr>
          <w:p>
            <w:pPr>
              <w:spacing w:after="0"/>
              <w:rPr>
                <w:sz w:val="1"/>
                <w:szCs w:val="1"/>
                <w:color w:val="auto"/>
              </w:rPr>
            </w:pPr>
          </w:p>
        </w:tc>
      </w:tr>
      <w:tr>
        <w:trPr>
          <w:trHeight w:val="181"/>
        </w:trPr>
        <w:tc>
          <w:tcPr>
            <w:tcW w:w="1940" w:type="dxa"/>
            <w:vAlign w:val="bottom"/>
            <w:tcBorders>
              <w:bottom w:val="single" w:sz="8" w:color="00A1DF"/>
            </w:tcBorders>
          </w:tcPr>
          <w:p>
            <w:pPr>
              <w:spacing w:after="0"/>
              <w:rPr>
                <w:sz w:val="15"/>
                <w:szCs w:val="15"/>
                <w:color w:val="auto"/>
              </w:rPr>
            </w:pPr>
          </w:p>
        </w:tc>
        <w:tc>
          <w:tcPr>
            <w:tcW w:w="8980" w:type="dxa"/>
            <w:vAlign w:val="bottom"/>
            <w:tcBorders>
              <w:bottom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With respect to the applicable performance period, if the Compensation Committee determines that a</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change in the business, operations, corporate structure, or capital structure of the Company, or the</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Adjustments</w:t>
            </w: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manner in which it conducts its business, or other events or circumstances render the applicable</w:t>
            </w: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rPr>
              <w:t>performance measures unsuitable, the Compensation Committee may in its discretion modify such</w:t>
            </w:r>
          </w:p>
        </w:tc>
        <w:tc>
          <w:tcPr>
            <w:tcW w:w="0" w:type="dxa"/>
            <w:vAlign w:val="bottom"/>
          </w:tcPr>
          <w:p>
            <w:pPr>
              <w:spacing w:after="0"/>
              <w:rPr>
                <w:sz w:val="1"/>
                <w:szCs w:val="1"/>
                <w:color w:val="auto"/>
              </w:rPr>
            </w:pPr>
          </w:p>
        </w:tc>
      </w:tr>
      <w:tr>
        <w:trPr>
          <w:trHeight w:val="96"/>
        </w:trPr>
        <w:tc>
          <w:tcPr>
            <w:tcW w:w="1940" w:type="dxa"/>
            <w:vAlign w:val="bottom"/>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9"/>
              </w:rPr>
              <w:t>performance objectives or the related minimum acceptable level of achievement, in whole or part, as the</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Compensation Committee deems appropriate and equitable.</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Restricted stock, RSUs, performance awards, and other stock-based awards will generally provide</w:t>
            </w:r>
          </w:p>
        </w:tc>
        <w:tc>
          <w:tcPr>
            <w:tcW w:w="0" w:type="dxa"/>
            <w:vAlign w:val="bottom"/>
          </w:tcPr>
          <w:p>
            <w:pPr>
              <w:spacing w:after="0"/>
              <w:rPr>
                <w:sz w:val="1"/>
                <w:szCs w:val="1"/>
                <w:color w:val="auto"/>
              </w:rPr>
            </w:pPr>
          </w:p>
        </w:tc>
      </w:tr>
      <w:tr>
        <w:trPr>
          <w:trHeight w:val="214"/>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Dividend</w:t>
            </w: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9"/>
              </w:rPr>
              <w:t>dividend equivalent rights, which will accrue and be paid upon vesting or settlement of awards, provided</w:t>
            </w: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w w:val="99"/>
              </w:rPr>
              <w:t>that no dividend payments will be made with respect to shares that are not ultimately earned and settled</w:t>
            </w:r>
          </w:p>
        </w:tc>
        <w:tc>
          <w:tcPr>
            <w:tcW w:w="0" w:type="dxa"/>
            <w:vAlign w:val="bottom"/>
          </w:tcPr>
          <w:p>
            <w:pPr>
              <w:spacing w:after="0"/>
              <w:rPr>
                <w:sz w:val="1"/>
                <w:szCs w:val="1"/>
                <w:color w:val="auto"/>
              </w:rPr>
            </w:pPr>
          </w:p>
        </w:tc>
      </w:tr>
      <w:tr>
        <w:trPr>
          <w:trHeight w:val="129"/>
        </w:trPr>
        <w:tc>
          <w:tcPr>
            <w:tcW w:w="194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Equivalent Rights</w:t>
            </w:r>
          </w:p>
        </w:tc>
        <w:tc>
          <w:tcPr>
            <w:tcW w:w="8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40" w:type="dxa"/>
            <w:vAlign w:val="bottom"/>
            <w:vMerge w:val="continue"/>
          </w:tcPr>
          <w:p>
            <w:pPr>
              <w:spacing w:after="0"/>
              <w:rPr>
                <w:sz w:val="10"/>
                <w:szCs w:val="10"/>
                <w:color w:val="auto"/>
              </w:rPr>
            </w:pPr>
          </w:p>
        </w:tc>
        <w:tc>
          <w:tcPr>
            <w:tcW w:w="8980" w:type="dxa"/>
            <w:vAlign w:val="bottom"/>
            <w:vMerge w:val="restart"/>
          </w:tcPr>
          <w:p>
            <w:pPr>
              <w:ind w:left="260"/>
              <w:spacing w:after="0" w:line="214" w:lineRule="exact"/>
              <w:rPr>
                <w:sz w:val="20"/>
                <w:szCs w:val="20"/>
                <w:color w:val="auto"/>
              </w:rPr>
            </w:pPr>
            <w:r>
              <w:rPr>
                <w:rFonts w:ascii="Arial" w:cs="Arial" w:eastAsia="Arial" w:hAnsi="Arial"/>
                <w:sz w:val="19"/>
                <w:szCs w:val="19"/>
                <w:color w:val="auto"/>
              </w:rPr>
              <w:t>unless otherwise determined by the Compensation Committee. Stock options and SARs will not be</w:t>
            </w:r>
          </w:p>
        </w:tc>
        <w:tc>
          <w:tcPr>
            <w:tcW w:w="0" w:type="dxa"/>
            <w:vAlign w:val="bottom"/>
          </w:tcPr>
          <w:p>
            <w:pPr>
              <w:spacing w:after="0"/>
              <w:rPr>
                <w:sz w:val="1"/>
                <w:szCs w:val="1"/>
                <w:color w:val="auto"/>
              </w:rPr>
            </w:pPr>
          </w:p>
        </w:tc>
      </w:tr>
      <w:tr>
        <w:trPr>
          <w:trHeight w:val="96"/>
        </w:trPr>
        <w:tc>
          <w:tcPr>
            <w:tcW w:w="1940" w:type="dxa"/>
            <w:vAlign w:val="bottom"/>
          </w:tcPr>
          <w:p>
            <w:pPr>
              <w:spacing w:after="0"/>
              <w:rPr>
                <w:sz w:val="8"/>
                <w:szCs w:val="8"/>
                <w:color w:val="auto"/>
              </w:rPr>
            </w:pPr>
          </w:p>
        </w:tc>
        <w:tc>
          <w:tcPr>
            <w:tcW w:w="8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eligible for dividend equivalent rights unless otherwise determined by the Compensation Committee.</w:t>
            </w:r>
          </w:p>
        </w:tc>
        <w:tc>
          <w:tcPr>
            <w:tcW w:w="0" w:type="dxa"/>
            <w:vAlign w:val="bottom"/>
          </w:tcPr>
          <w:p>
            <w:pPr>
              <w:spacing w:after="0"/>
              <w:rPr>
                <w:sz w:val="1"/>
                <w:szCs w:val="1"/>
                <w:color w:val="auto"/>
              </w:rPr>
            </w:pPr>
          </w:p>
        </w:tc>
      </w:tr>
      <w:tr>
        <w:trPr>
          <w:trHeight w:val="64"/>
        </w:trPr>
        <w:tc>
          <w:tcPr>
            <w:tcW w:w="19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i w:val="1"/>
                <w:iCs w:val="1"/>
                <w:color w:val="auto"/>
              </w:rPr>
              <w:t>Stock options and SARs</w:t>
            </w:r>
            <w:r>
              <w:rPr>
                <w:rFonts w:ascii="Arial" w:cs="Arial" w:eastAsia="Arial" w:hAnsi="Arial"/>
                <w:sz w:val="19"/>
                <w:szCs w:val="19"/>
                <w:color w:val="auto"/>
              </w:rPr>
              <w:t>: In general, no portion of an award is intended to vest prior to the first</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w w:val="98"/>
              </w:rPr>
              <w:t>anniversary of the vesting commencement date; however, the Compensation Committee may provide for</w:t>
            </w:r>
          </w:p>
        </w:tc>
        <w:tc>
          <w:tcPr>
            <w:tcW w:w="0" w:type="dxa"/>
            <w:vAlign w:val="bottom"/>
          </w:tcPr>
          <w:p>
            <w:pPr>
              <w:spacing w:after="0"/>
              <w:rPr>
                <w:sz w:val="1"/>
                <w:szCs w:val="1"/>
                <w:color w:val="auto"/>
              </w:rPr>
            </w:pPr>
          </w:p>
        </w:tc>
      </w:tr>
      <w:tr>
        <w:trPr>
          <w:trHeight w:val="259"/>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Minimum Vesting</w:t>
            </w:r>
          </w:p>
        </w:tc>
        <w:tc>
          <w:tcPr>
            <w:tcW w:w="8980" w:type="dxa"/>
            <w:vAlign w:val="bottom"/>
          </w:tcPr>
          <w:p>
            <w:pPr>
              <w:ind w:left="260"/>
              <w:spacing w:after="0"/>
              <w:rPr>
                <w:sz w:val="20"/>
                <w:szCs w:val="20"/>
                <w:color w:val="auto"/>
              </w:rPr>
            </w:pPr>
            <w:r>
              <w:rPr>
                <w:rFonts w:ascii="Arial" w:cs="Arial" w:eastAsia="Arial" w:hAnsi="Arial"/>
                <w:sz w:val="19"/>
                <w:szCs w:val="19"/>
                <w:color w:val="auto"/>
              </w:rPr>
              <w:t>shorter vesting if appropriate under the circumstances.</w:t>
            </w:r>
          </w:p>
        </w:tc>
        <w:tc>
          <w:tcPr>
            <w:tcW w:w="0" w:type="dxa"/>
            <w:vAlign w:val="bottom"/>
          </w:tcPr>
          <w:p>
            <w:pPr>
              <w:spacing w:after="0"/>
              <w:rPr>
                <w:sz w:val="1"/>
                <w:szCs w:val="1"/>
                <w:color w:val="auto"/>
              </w:rPr>
            </w:pPr>
          </w:p>
        </w:tc>
      </w:tr>
      <w:tr>
        <w:trPr>
          <w:trHeight w:val="289"/>
        </w:trPr>
        <w:tc>
          <w:tcPr>
            <w:tcW w:w="1940" w:type="dxa"/>
            <w:vAlign w:val="bottom"/>
          </w:tcPr>
          <w:p>
            <w:pPr>
              <w:ind w:left="100"/>
              <w:spacing w:after="0"/>
              <w:rPr>
                <w:sz w:val="20"/>
                <w:szCs w:val="20"/>
                <w:color w:val="auto"/>
              </w:rPr>
            </w:pPr>
            <w:r>
              <w:rPr>
                <w:rFonts w:ascii="Arial" w:cs="Arial" w:eastAsia="Arial" w:hAnsi="Arial"/>
                <w:sz w:val="19"/>
                <w:szCs w:val="19"/>
                <w:b w:val="1"/>
                <w:bCs w:val="1"/>
                <w:color w:val="auto"/>
              </w:rPr>
              <w:t>Period</w:t>
            </w:r>
          </w:p>
        </w:tc>
        <w:tc>
          <w:tcPr>
            <w:tcW w:w="8980" w:type="dxa"/>
            <w:vAlign w:val="bottom"/>
          </w:tcPr>
          <w:p>
            <w:pPr>
              <w:ind w:left="260"/>
              <w:spacing w:after="0"/>
              <w:rPr>
                <w:sz w:val="20"/>
                <w:szCs w:val="20"/>
                <w:color w:val="auto"/>
              </w:rPr>
            </w:pPr>
            <w:r>
              <w:rPr>
                <w:rFonts w:ascii="Arial" w:cs="Arial" w:eastAsia="Arial" w:hAnsi="Arial"/>
                <w:sz w:val="19"/>
                <w:szCs w:val="19"/>
                <w:i w:val="1"/>
                <w:iCs w:val="1"/>
                <w:color w:val="auto"/>
              </w:rPr>
              <w:t>Restricted Stock, RSUs, and Performance Awards</w:t>
            </w:r>
            <w:r>
              <w:rPr>
                <w:rFonts w:ascii="Arial" w:cs="Arial" w:eastAsia="Arial" w:hAnsi="Arial"/>
                <w:sz w:val="19"/>
                <w:szCs w:val="19"/>
                <w:color w:val="auto"/>
              </w:rPr>
              <w:t>: Awards will generally vest in whole or in part over a</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period of not less than three years from the vesting commencement date; however, the Compensation</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Committee may provide for shorter vesting if appropriate under the circumstances.</w:t>
            </w:r>
          </w:p>
        </w:tc>
        <w:tc>
          <w:tcPr>
            <w:tcW w:w="0" w:type="dxa"/>
            <w:vAlign w:val="bottom"/>
          </w:tcPr>
          <w:p>
            <w:pPr>
              <w:spacing w:after="0"/>
              <w:rPr>
                <w:sz w:val="1"/>
                <w:szCs w:val="1"/>
                <w:color w:val="auto"/>
              </w:rPr>
            </w:pPr>
          </w:p>
        </w:tc>
      </w:tr>
      <w:tr>
        <w:trPr>
          <w:trHeight w:val="78"/>
        </w:trPr>
        <w:tc>
          <w:tcPr>
            <w:tcW w:w="1940" w:type="dxa"/>
            <w:vAlign w:val="bottom"/>
            <w:tcBorders>
              <w:bottom w:val="single" w:sz="8" w:color="auto"/>
            </w:tcBorders>
          </w:tcPr>
          <w:p>
            <w:pPr>
              <w:spacing w:after="0"/>
              <w:rPr>
                <w:sz w:val="6"/>
                <w:szCs w:val="6"/>
                <w:color w:val="auto"/>
              </w:rPr>
            </w:pPr>
          </w:p>
        </w:tc>
        <w:tc>
          <w:tcPr>
            <w:tcW w:w="8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940" w:type="dxa"/>
            <w:vAlign w:val="bottom"/>
          </w:tcPr>
          <w:p>
            <w:pPr>
              <w:spacing w:after="0"/>
              <w:rPr>
                <w:sz w:val="24"/>
                <w:szCs w:val="24"/>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Except as otherwise provided for in an award agreement, or as the Compensation Committee may</w:t>
            </w: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8980" w:type="dxa"/>
            <w:vAlign w:val="bottom"/>
          </w:tcPr>
          <w:p>
            <w:pPr>
              <w:ind w:left="260"/>
              <w:spacing w:after="0" w:line="214" w:lineRule="exact"/>
              <w:rPr>
                <w:sz w:val="20"/>
                <w:szCs w:val="20"/>
                <w:color w:val="auto"/>
              </w:rPr>
            </w:pPr>
            <w:r>
              <w:rPr>
                <w:rFonts w:ascii="Arial" w:cs="Arial" w:eastAsia="Arial" w:hAnsi="Arial"/>
                <w:sz w:val="19"/>
                <w:szCs w:val="19"/>
                <w:color w:val="auto"/>
              </w:rPr>
              <w:t>determine in any individual case, a participant’s outstanding awards will be treated as set forth below</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8980" w:type="dxa"/>
            <w:vAlign w:val="bottom"/>
          </w:tcPr>
          <w:p>
            <w:pPr>
              <w:ind w:left="260"/>
              <w:spacing w:after="0"/>
              <w:rPr>
                <w:sz w:val="20"/>
                <w:szCs w:val="20"/>
                <w:color w:val="auto"/>
              </w:rPr>
            </w:pPr>
            <w:r>
              <w:rPr>
                <w:rFonts w:ascii="Arial" w:cs="Arial" w:eastAsia="Arial" w:hAnsi="Arial"/>
                <w:sz w:val="19"/>
                <w:szCs w:val="19"/>
                <w:color w:val="auto"/>
              </w:rPr>
              <w:t>upon his or her termination of service:</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Death:</w:t>
      </w:r>
    </w:p>
    <w:p>
      <w:pPr>
        <w:ind w:left="2540" w:right="20" w:hanging="179"/>
        <w:spacing w:after="0" w:line="235" w:lineRule="auto"/>
        <w:tabs>
          <w:tab w:leader="none" w:pos="2512" w:val="left"/>
        </w:tabs>
        <w:numPr>
          <w:ilvl w:val="0"/>
          <w:numId w:val="131"/>
        </w:numPr>
        <w:rPr>
          <w:rFonts w:ascii="Arial" w:cs="Arial" w:eastAsia="Arial" w:hAnsi="Arial"/>
          <w:sz w:val="19"/>
          <w:szCs w:val="19"/>
          <w:color w:val="0033A0"/>
        </w:rPr>
      </w:pPr>
      <w:r>
        <w:rPr>
          <w:rFonts w:ascii="Arial" w:cs="Arial" w:eastAsia="Arial" w:hAnsi="Arial"/>
          <w:sz w:val="19"/>
          <w:szCs w:val="19"/>
          <w:color w:val="auto"/>
        </w:rPr>
        <w:t>Stock options and SARs immediately vest and remain exercisable until the earlier of three years after death or the original expiration date.</w:t>
      </w:r>
    </w:p>
    <w:p>
      <w:pPr>
        <w:ind w:left="2520" w:hanging="159"/>
        <w:spacing w:after="0" w:line="235" w:lineRule="auto"/>
        <w:tabs>
          <w:tab w:leader="none" w:pos="2520" w:val="left"/>
        </w:tabs>
        <w:numPr>
          <w:ilvl w:val="0"/>
          <w:numId w:val="131"/>
        </w:numPr>
        <w:rPr>
          <w:rFonts w:ascii="Arial" w:cs="Arial" w:eastAsia="Arial" w:hAnsi="Arial"/>
          <w:sz w:val="19"/>
          <w:szCs w:val="19"/>
          <w:color w:val="0033A0"/>
        </w:rPr>
      </w:pPr>
      <w:r>
        <w:rPr>
          <w:rFonts w:ascii="Arial" w:cs="Arial" w:eastAsia="Arial" w:hAnsi="Arial"/>
          <w:sz w:val="19"/>
          <w:szCs w:val="19"/>
          <w:color w:val="auto"/>
        </w:rPr>
        <w:t>Restricted stock and RSUs vest and are settled within 90 days after death.</w:t>
      </w:r>
    </w:p>
    <w:p>
      <w:pPr>
        <w:jc w:val="both"/>
        <w:ind w:left="2540" w:right="20" w:hanging="179"/>
        <w:spacing w:after="0" w:line="239" w:lineRule="auto"/>
        <w:tabs>
          <w:tab w:leader="none" w:pos="2512" w:val="left"/>
        </w:tabs>
        <w:numPr>
          <w:ilvl w:val="0"/>
          <w:numId w:val="131"/>
        </w:numPr>
        <w:rPr>
          <w:rFonts w:ascii="Arial" w:cs="Arial" w:eastAsia="Arial" w:hAnsi="Arial"/>
          <w:sz w:val="19"/>
          <w:szCs w:val="19"/>
          <w:color w:val="0033A0"/>
        </w:rPr>
      </w:pPr>
      <w:r>
        <w:rPr>
          <w:rFonts w:ascii="Arial" w:cs="Arial" w:eastAsia="Arial" w:hAnsi="Arial"/>
          <w:sz w:val="19"/>
          <w:szCs w:val="19"/>
          <w:color w:val="auto"/>
        </w:rPr>
        <w:t>Performance awards will have any service-based vesting waived, will be earned based upon the achievement of the applicable performance conditions, and will be paid or settled on the scheduled settlement date(s).</w:t>
      </w:r>
    </w:p>
    <w:p>
      <w:pPr>
        <w:spacing w:after="0" w:line="105"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1700" w:type="dxa"/>
            <w:vAlign w:val="bottom"/>
          </w:tcPr>
          <w:p>
            <w:pPr>
              <w:spacing w:after="0"/>
              <w:rPr>
                <w:sz w:val="19"/>
                <w:szCs w:val="19"/>
                <w:color w:val="auto"/>
              </w:rPr>
            </w:pPr>
          </w:p>
        </w:tc>
        <w:tc>
          <w:tcPr>
            <w:tcW w:w="9120" w:type="dxa"/>
            <w:vAlign w:val="bottom"/>
          </w:tcPr>
          <w:p>
            <w:pPr>
              <w:ind w:left="400"/>
              <w:spacing w:after="0"/>
              <w:rPr>
                <w:sz w:val="20"/>
                <w:szCs w:val="20"/>
                <w:color w:val="auto"/>
              </w:rPr>
            </w:pPr>
            <w:r>
              <w:rPr>
                <w:rFonts w:ascii="Arial" w:cs="Arial" w:eastAsia="Arial" w:hAnsi="Arial"/>
                <w:sz w:val="19"/>
                <w:szCs w:val="19"/>
                <w:color w:val="auto"/>
              </w:rPr>
              <w:t>Disability:</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9120" w:type="dxa"/>
            <w:vAlign w:val="bottom"/>
          </w:tcPr>
          <w:p>
            <w:pPr>
              <w:ind w:left="400"/>
              <w:spacing w:after="0" w:line="214" w:lineRule="exact"/>
              <w:rPr>
                <w:sz w:val="20"/>
                <w:szCs w:val="20"/>
                <w:color w:val="auto"/>
              </w:rPr>
            </w:pPr>
            <w:r>
              <w:rPr>
                <w:rFonts w:ascii="Arial" w:cs="Arial" w:eastAsia="Arial" w:hAnsi="Arial"/>
                <w:sz w:val="19"/>
                <w:szCs w:val="19"/>
                <w:color w:val="0033A0"/>
              </w:rPr>
              <w:t xml:space="preserve">• </w:t>
            </w:r>
            <w:r>
              <w:rPr>
                <w:rFonts w:ascii="Arial" w:cs="Arial" w:eastAsia="Arial" w:hAnsi="Arial"/>
                <w:sz w:val="19"/>
                <w:szCs w:val="19"/>
                <w:color w:val="000000"/>
              </w:rPr>
              <w:t>Stock options and SARs continue to vest and become exercisable in accordance with the vesting</w:t>
            </w:r>
          </w:p>
        </w:tc>
        <w:tc>
          <w:tcPr>
            <w:tcW w:w="0" w:type="dxa"/>
            <w:vAlign w:val="bottom"/>
          </w:tcPr>
          <w:p>
            <w:pPr>
              <w:spacing w:after="0"/>
              <w:rPr>
                <w:sz w:val="1"/>
                <w:szCs w:val="1"/>
                <w:color w:val="auto"/>
              </w:rPr>
            </w:pPr>
          </w:p>
        </w:tc>
      </w:tr>
      <w:tr>
        <w:trPr>
          <w:trHeight w:val="214"/>
        </w:trPr>
        <w:tc>
          <w:tcPr>
            <w:tcW w:w="1700" w:type="dxa"/>
            <w:vAlign w:val="bottom"/>
            <w:vMerge w:val="restart"/>
          </w:tcPr>
          <w:p>
            <w:pPr>
              <w:spacing w:after="0"/>
              <w:rPr>
                <w:sz w:val="20"/>
                <w:szCs w:val="20"/>
                <w:color w:val="auto"/>
              </w:rPr>
            </w:pPr>
            <w:r>
              <w:rPr>
                <w:rFonts w:ascii="Arial" w:cs="Arial" w:eastAsia="Arial" w:hAnsi="Arial"/>
                <w:sz w:val="19"/>
                <w:szCs w:val="19"/>
                <w:b w:val="1"/>
                <w:bCs w:val="1"/>
                <w:color w:val="auto"/>
              </w:rPr>
              <w:t>Effect of</w:t>
            </w:r>
          </w:p>
        </w:tc>
        <w:tc>
          <w:tcPr>
            <w:tcW w:w="9120" w:type="dxa"/>
            <w:vAlign w:val="bottom"/>
          </w:tcPr>
          <w:p>
            <w:pPr>
              <w:ind w:left="580"/>
              <w:spacing w:after="0" w:line="214" w:lineRule="exact"/>
              <w:rPr>
                <w:sz w:val="20"/>
                <w:szCs w:val="20"/>
                <w:color w:val="auto"/>
              </w:rPr>
            </w:pPr>
            <w:r>
              <w:rPr>
                <w:rFonts w:ascii="Arial" w:cs="Arial" w:eastAsia="Arial" w:hAnsi="Arial"/>
                <w:sz w:val="19"/>
                <w:szCs w:val="19"/>
                <w:color w:val="auto"/>
              </w:rPr>
              <w:t>schedule and remain exercisable until the original expiration date.</w:t>
            </w:r>
          </w:p>
        </w:tc>
        <w:tc>
          <w:tcPr>
            <w:tcW w:w="0" w:type="dxa"/>
            <w:vAlign w:val="bottom"/>
          </w:tcPr>
          <w:p>
            <w:pPr>
              <w:spacing w:after="0"/>
              <w:rPr>
                <w:sz w:val="1"/>
                <w:szCs w:val="1"/>
                <w:color w:val="auto"/>
              </w:rPr>
            </w:pPr>
          </w:p>
        </w:tc>
      </w:tr>
      <w:tr>
        <w:trPr>
          <w:trHeight w:val="169"/>
        </w:trPr>
        <w:tc>
          <w:tcPr>
            <w:tcW w:w="1700" w:type="dxa"/>
            <w:vAlign w:val="bottom"/>
            <w:vMerge w:val="continue"/>
          </w:tcPr>
          <w:p>
            <w:pPr>
              <w:spacing w:after="0"/>
              <w:rPr>
                <w:sz w:val="14"/>
                <w:szCs w:val="14"/>
                <w:color w:val="auto"/>
              </w:rPr>
            </w:pPr>
          </w:p>
        </w:tc>
        <w:tc>
          <w:tcPr>
            <w:tcW w:w="9120" w:type="dxa"/>
            <w:vAlign w:val="bottom"/>
          </w:tcPr>
          <w:p>
            <w:pPr>
              <w:ind w:left="400"/>
              <w:spacing w:after="0" w:line="170" w:lineRule="exact"/>
              <w:rPr>
                <w:sz w:val="20"/>
                <w:szCs w:val="20"/>
                <w:color w:val="auto"/>
              </w:rPr>
            </w:pPr>
            <w:r>
              <w:rPr>
                <w:rFonts w:ascii="Arial" w:cs="Arial" w:eastAsia="Arial" w:hAnsi="Arial"/>
                <w:sz w:val="19"/>
                <w:szCs w:val="19"/>
                <w:color w:val="0033A0"/>
              </w:rPr>
              <w:t xml:space="preserve">• </w:t>
            </w:r>
            <w:r>
              <w:rPr>
                <w:rFonts w:ascii="Arial" w:cs="Arial" w:eastAsia="Arial" w:hAnsi="Arial"/>
                <w:sz w:val="19"/>
                <w:szCs w:val="19"/>
                <w:color w:val="000000"/>
              </w:rPr>
              <w:t>Restricted stock and RSUs continue to vest and settle on the scheduled settlement date(s).</w:t>
            </w:r>
          </w:p>
        </w:tc>
        <w:tc>
          <w:tcPr>
            <w:tcW w:w="0" w:type="dxa"/>
            <w:vAlign w:val="bottom"/>
          </w:tcPr>
          <w:p>
            <w:pPr>
              <w:spacing w:after="0"/>
              <w:rPr>
                <w:sz w:val="1"/>
                <w:szCs w:val="1"/>
                <w:color w:val="auto"/>
              </w:rPr>
            </w:pPr>
          </w:p>
        </w:tc>
      </w:tr>
      <w:tr>
        <w:trPr>
          <w:trHeight w:val="214"/>
        </w:trPr>
        <w:tc>
          <w:tcPr>
            <w:tcW w:w="1700" w:type="dxa"/>
            <w:vAlign w:val="bottom"/>
          </w:tcPr>
          <w:p>
            <w:pPr>
              <w:spacing w:after="0" w:line="214" w:lineRule="exact"/>
              <w:rPr>
                <w:sz w:val="20"/>
                <w:szCs w:val="20"/>
                <w:color w:val="auto"/>
              </w:rPr>
            </w:pPr>
            <w:r>
              <w:rPr>
                <w:rFonts w:ascii="Arial" w:cs="Arial" w:eastAsia="Arial" w:hAnsi="Arial"/>
                <w:sz w:val="19"/>
                <w:szCs w:val="19"/>
                <w:b w:val="1"/>
                <w:bCs w:val="1"/>
                <w:color w:val="auto"/>
              </w:rPr>
              <w:t>Termination of</w:t>
            </w:r>
          </w:p>
        </w:tc>
        <w:tc>
          <w:tcPr>
            <w:tcW w:w="9120" w:type="dxa"/>
            <w:vAlign w:val="bottom"/>
          </w:tcPr>
          <w:p>
            <w:pPr>
              <w:ind w:left="400"/>
              <w:spacing w:after="0" w:line="214" w:lineRule="exact"/>
              <w:rPr>
                <w:sz w:val="20"/>
                <w:szCs w:val="20"/>
                <w:color w:val="auto"/>
              </w:rPr>
            </w:pPr>
            <w:r>
              <w:rPr>
                <w:rFonts w:ascii="Arial" w:cs="Arial" w:eastAsia="Arial" w:hAnsi="Arial"/>
                <w:sz w:val="19"/>
                <w:szCs w:val="19"/>
                <w:color w:val="0033A0"/>
              </w:rPr>
              <w:t xml:space="preserve">• </w:t>
            </w:r>
            <w:r>
              <w:rPr>
                <w:rFonts w:ascii="Arial" w:cs="Arial" w:eastAsia="Arial" w:hAnsi="Arial"/>
                <w:sz w:val="19"/>
                <w:szCs w:val="19"/>
                <w:color w:val="000000"/>
              </w:rPr>
              <w:t>Performance awards will have any service-based vesting waived, will be earned based upon the</w:t>
            </w:r>
          </w:p>
        </w:tc>
        <w:tc>
          <w:tcPr>
            <w:tcW w:w="0" w:type="dxa"/>
            <w:vAlign w:val="bottom"/>
          </w:tcPr>
          <w:p>
            <w:pPr>
              <w:spacing w:after="0"/>
              <w:rPr>
                <w:sz w:val="1"/>
                <w:szCs w:val="1"/>
                <w:color w:val="auto"/>
              </w:rPr>
            </w:pPr>
          </w:p>
        </w:tc>
      </w:tr>
      <w:tr>
        <w:trPr>
          <w:trHeight w:val="259"/>
        </w:trPr>
        <w:tc>
          <w:tcPr>
            <w:tcW w:w="1700" w:type="dxa"/>
            <w:vAlign w:val="bottom"/>
          </w:tcPr>
          <w:p>
            <w:pPr>
              <w:spacing w:after="0"/>
              <w:rPr>
                <w:sz w:val="20"/>
                <w:szCs w:val="20"/>
                <w:color w:val="auto"/>
              </w:rPr>
            </w:pPr>
            <w:r>
              <w:rPr>
                <w:rFonts w:ascii="Arial" w:cs="Arial" w:eastAsia="Arial" w:hAnsi="Arial"/>
                <w:sz w:val="19"/>
                <w:szCs w:val="19"/>
                <w:b w:val="1"/>
                <w:bCs w:val="1"/>
                <w:color w:val="auto"/>
              </w:rPr>
              <w:t>Service</w:t>
            </w:r>
          </w:p>
        </w:tc>
        <w:tc>
          <w:tcPr>
            <w:tcW w:w="9120" w:type="dxa"/>
            <w:vAlign w:val="bottom"/>
          </w:tcPr>
          <w:p>
            <w:pPr>
              <w:ind w:left="580"/>
              <w:spacing w:after="0"/>
              <w:rPr>
                <w:sz w:val="20"/>
                <w:szCs w:val="20"/>
                <w:color w:val="auto"/>
              </w:rPr>
            </w:pPr>
            <w:r>
              <w:rPr>
                <w:rFonts w:ascii="Arial" w:cs="Arial" w:eastAsia="Arial" w:hAnsi="Arial"/>
                <w:sz w:val="19"/>
                <w:szCs w:val="19"/>
                <w:color w:val="auto"/>
              </w:rPr>
              <w:t>achievement of the applicable performance conditions, and will be paid or settled on the scheduled</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9120" w:type="dxa"/>
            <w:vAlign w:val="bottom"/>
          </w:tcPr>
          <w:p>
            <w:pPr>
              <w:ind w:left="580"/>
              <w:spacing w:after="0"/>
              <w:rPr>
                <w:sz w:val="20"/>
                <w:szCs w:val="20"/>
                <w:color w:val="auto"/>
              </w:rPr>
            </w:pPr>
            <w:r>
              <w:rPr>
                <w:rFonts w:ascii="Arial" w:cs="Arial" w:eastAsia="Arial" w:hAnsi="Arial"/>
                <w:sz w:val="19"/>
                <w:szCs w:val="19"/>
                <w:color w:val="auto"/>
              </w:rPr>
              <w:t>settlement date(s).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360" w:right="20"/>
        <w:spacing w:after="0" w:line="235" w:lineRule="auto"/>
        <w:rPr>
          <w:sz w:val="20"/>
          <w:szCs w:val="20"/>
          <w:color w:val="auto"/>
        </w:rPr>
      </w:pPr>
      <w:r>
        <w:rPr>
          <w:rFonts w:ascii="Arial" w:cs="Arial" w:eastAsia="Arial" w:hAnsi="Arial"/>
          <w:sz w:val="19"/>
          <w:szCs w:val="19"/>
          <w:color w:val="auto"/>
        </w:rPr>
        <w:t>Full Career Status Termination (age 55 or older with ten or more years of continuous service or age 62 or older):</w:t>
      </w:r>
    </w:p>
    <w:p>
      <w:pPr>
        <w:jc w:val="both"/>
        <w:ind w:left="2540" w:right="20" w:hanging="179"/>
        <w:spacing w:after="0" w:line="235" w:lineRule="auto"/>
        <w:tabs>
          <w:tab w:leader="none" w:pos="2512" w:val="left"/>
        </w:tabs>
        <w:numPr>
          <w:ilvl w:val="0"/>
          <w:numId w:val="132"/>
        </w:numPr>
        <w:rPr>
          <w:rFonts w:ascii="Arial" w:cs="Arial" w:eastAsia="Arial" w:hAnsi="Arial"/>
          <w:sz w:val="19"/>
          <w:szCs w:val="19"/>
          <w:color w:val="0033A0"/>
        </w:rPr>
      </w:pPr>
      <w:r>
        <w:rPr>
          <w:rFonts w:ascii="Arial" w:cs="Arial" w:eastAsia="Arial" w:hAnsi="Arial"/>
          <w:sz w:val="19"/>
          <w:szCs w:val="19"/>
          <w:color w:val="auto"/>
        </w:rPr>
        <w:t>Stock options and SARs continue to vest and become exercisable in accordance with the vesting schedule and remain exercisable until the original expiration date; provided that the amount of the award will be prorated if termination occurs prior to the one-year anniversary of the grant.</w:t>
      </w:r>
    </w:p>
    <w:p>
      <w:pPr>
        <w:jc w:val="both"/>
        <w:ind w:left="2540" w:right="20" w:hanging="179"/>
        <w:spacing w:after="0" w:line="235" w:lineRule="auto"/>
        <w:tabs>
          <w:tab w:leader="none" w:pos="2512" w:val="left"/>
        </w:tabs>
        <w:numPr>
          <w:ilvl w:val="0"/>
          <w:numId w:val="132"/>
        </w:numPr>
        <w:rPr>
          <w:rFonts w:ascii="Arial" w:cs="Arial" w:eastAsia="Arial" w:hAnsi="Arial"/>
          <w:sz w:val="19"/>
          <w:szCs w:val="19"/>
          <w:color w:val="0033A0"/>
        </w:rPr>
      </w:pPr>
      <w:r>
        <w:rPr>
          <w:rFonts w:ascii="Arial" w:cs="Arial" w:eastAsia="Arial" w:hAnsi="Arial"/>
          <w:sz w:val="19"/>
          <w:szCs w:val="19"/>
          <w:color w:val="auto"/>
        </w:rPr>
        <w:t>Restricted stock and RSUs continue to vest and settle on the scheduled settlement date(s); provided that the amount of the award will be prorated if termination occurs prior to the one-year anniversary of the grant.</w:t>
      </w:r>
    </w:p>
    <w:p>
      <w:pPr>
        <w:jc w:val="both"/>
        <w:ind w:left="2540" w:right="20" w:hanging="179"/>
        <w:spacing w:after="0" w:line="238" w:lineRule="auto"/>
        <w:tabs>
          <w:tab w:leader="none" w:pos="2512" w:val="left"/>
        </w:tabs>
        <w:numPr>
          <w:ilvl w:val="0"/>
          <w:numId w:val="132"/>
        </w:numPr>
        <w:rPr>
          <w:rFonts w:ascii="Arial" w:cs="Arial" w:eastAsia="Arial" w:hAnsi="Arial"/>
          <w:sz w:val="19"/>
          <w:szCs w:val="19"/>
          <w:color w:val="0033A0"/>
        </w:rPr>
      </w:pPr>
      <w:r>
        <w:rPr>
          <w:rFonts w:ascii="Arial" w:cs="Arial" w:eastAsia="Arial" w:hAnsi="Arial"/>
          <w:sz w:val="19"/>
          <w:szCs w:val="19"/>
          <w:color w:val="auto"/>
        </w:rPr>
        <w:t>Performance awards will have any service-based vesting waived, will be earned based upon the achievement of the applicable performance conditions, and will be paid or settled on the scheduled settlement date(s); provided that the award will be prorated if termination occurs within the first year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793865" cy="1016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85</w:t>
      </w:r>
    </w:p>
    <w:p>
      <w:pPr>
        <w:sectPr>
          <w:pgSz w:w="11900" w:h="16838" w:orient="portrait"/>
          <w:cols w:equalWidth="0" w:num="1">
            <w:col w:w="11100"/>
          </w:cols>
          <w:pgMar w:left="320" w:top="45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4"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Other Terminations, including Termination Pursuant to an Approved Separation Agreement or Program:</w:t>
      </w:r>
    </w:p>
    <w:p>
      <w:pPr>
        <w:jc w:val="both"/>
        <w:ind w:left="2540" w:hanging="179"/>
        <w:spacing w:after="0" w:line="239" w:lineRule="auto"/>
        <w:tabs>
          <w:tab w:leader="none" w:pos="2508" w:val="left"/>
        </w:tabs>
        <w:numPr>
          <w:ilvl w:val="0"/>
          <w:numId w:val="133"/>
        </w:numPr>
        <w:rPr>
          <w:rFonts w:ascii="Arial" w:cs="Arial" w:eastAsia="Arial" w:hAnsi="Arial"/>
          <w:sz w:val="19"/>
          <w:szCs w:val="19"/>
          <w:color w:val="0033A0"/>
        </w:rPr>
      </w:pPr>
      <w:r>
        <w:rPr>
          <w:rFonts w:ascii="Arial" w:cs="Arial" w:eastAsia="Arial" w:hAnsi="Arial"/>
          <w:sz w:val="19"/>
          <w:szCs w:val="19"/>
          <w:color w:val="auto"/>
        </w:rPr>
        <w:t>The participant will not be entitled to retain any portion of an award; provided that any vested stock options or SARs shall remain exercisable until the earlier of 90 days after termination or the original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49530</wp:posOffset>
            </wp:positionV>
            <wp:extent cx="69297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3" w:lineRule="exact"/>
        <w:rPr>
          <w:sz w:val="20"/>
          <w:szCs w:val="20"/>
          <w:color w:val="auto"/>
        </w:rPr>
      </w:pPr>
    </w:p>
    <w:p>
      <w:pPr>
        <w:jc w:val="both"/>
        <w:ind w:left="2360"/>
        <w:spacing w:after="0" w:line="227" w:lineRule="auto"/>
        <w:rPr>
          <w:sz w:val="20"/>
          <w:szCs w:val="20"/>
          <w:color w:val="auto"/>
        </w:rPr>
      </w:pPr>
      <w:r>
        <w:rPr>
          <w:rFonts w:ascii="Arial" w:cs="Arial" w:eastAsia="Arial" w:hAnsi="Arial"/>
          <w:sz w:val="19"/>
          <w:szCs w:val="19"/>
          <w:color w:val="auto"/>
        </w:rPr>
        <w:t>The 2020 LTIP generally provides for double-trigger change in control vesting provisions such that if awards are continued or converted into similar awards of the successor company, the awards will be subject to accelerated vesting in the event of a participant’s termination of service by the Company without cause or by the participant for good reason within 24 months after the change in control. If awards are not continued or converted into similar awards of the successor company, then the awards will have accelerated vesting immediately prior to the change in control.</w:t>
      </w:r>
    </w:p>
    <w:p>
      <w:pPr>
        <w:spacing w:after="0" w:line="4"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1960" w:type="dxa"/>
            <w:vAlign w:val="bottom"/>
          </w:tcPr>
          <w:p>
            <w:pPr>
              <w:ind w:left="100"/>
              <w:spacing w:after="0"/>
              <w:rPr>
                <w:sz w:val="20"/>
                <w:szCs w:val="20"/>
                <w:color w:val="auto"/>
              </w:rPr>
            </w:pPr>
            <w:r>
              <w:rPr>
                <w:rFonts w:ascii="Arial" w:cs="Arial" w:eastAsia="Arial" w:hAnsi="Arial"/>
                <w:sz w:val="19"/>
                <w:szCs w:val="19"/>
                <w:b w:val="1"/>
                <w:bCs w:val="1"/>
                <w:color w:val="auto"/>
              </w:rPr>
              <w:t>Change in Control</w:t>
            </w:r>
          </w:p>
        </w:tc>
        <w:tc>
          <w:tcPr>
            <w:tcW w:w="8960" w:type="dxa"/>
            <w:vAlign w:val="bottom"/>
            <w:vMerge w:val="restart"/>
          </w:tcPr>
          <w:p>
            <w:pPr>
              <w:ind w:left="240"/>
              <w:spacing w:after="0"/>
              <w:rPr>
                <w:sz w:val="20"/>
                <w:szCs w:val="20"/>
                <w:color w:val="auto"/>
              </w:rPr>
            </w:pPr>
            <w:r>
              <w:rPr>
                <w:rFonts w:ascii="Arial" w:cs="Arial" w:eastAsia="Arial" w:hAnsi="Arial"/>
                <w:sz w:val="19"/>
                <w:szCs w:val="19"/>
                <w:color w:val="auto"/>
                <w:w w:val="99"/>
              </w:rPr>
              <w:t>With respect to any outstanding performance awards, the performance period will end immediately prior</w:t>
            </w: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w w:val="99"/>
              </w:rPr>
              <w:t>to such change in control, achievement of the applicable performance criteria will be determined at such</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rPr>
              <w:t>time, and the number of shares deemed earned will be converted into a time vesting award that will be</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rPr>
              <w:t>paid or settled on the scheduled settlement date(s), provided that such awards will be subject to</w:t>
            </w: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w w:val="99"/>
              </w:rPr>
              <w:t>accelerated vesting in the event of the participant’s termination of service by the Company without cause</w:t>
            </w: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or by the participant for good reason within 24 months after the change in control.</w:t>
            </w:r>
          </w:p>
        </w:tc>
        <w:tc>
          <w:tcPr>
            <w:tcW w:w="0" w:type="dxa"/>
            <w:vAlign w:val="bottom"/>
          </w:tcPr>
          <w:p>
            <w:pPr>
              <w:spacing w:after="0"/>
              <w:rPr>
                <w:sz w:val="1"/>
                <w:szCs w:val="1"/>
                <w:color w:val="auto"/>
              </w:rPr>
            </w:pPr>
          </w:p>
        </w:tc>
      </w:tr>
      <w:tr>
        <w:trPr>
          <w:trHeight w:val="78"/>
        </w:trPr>
        <w:tc>
          <w:tcPr>
            <w:tcW w:w="1960" w:type="dxa"/>
            <w:vAlign w:val="bottom"/>
            <w:tcBorders>
              <w:bottom w:val="single" w:sz="8" w:color="auto"/>
            </w:tcBorders>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96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Clawback /</w:t>
            </w:r>
          </w:p>
        </w:tc>
        <w:tc>
          <w:tcPr>
            <w:tcW w:w="8960" w:type="dxa"/>
            <w:vAlign w:val="bottom"/>
          </w:tcPr>
          <w:p>
            <w:pPr>
              <w:ind w:left="240"/>
              <w:spacing w:after="0"/>
              <w:rPr>
                <w:sz w:val="20"/>
                <w:szCs w:val="20"/>
                <w:color w:val="auto"/>
              </w:rPr>
            </w:pPr>
            <w:r>
              <w:rPr>
                <w:rFonts w:ascii="Arial" w:cs="Arial" w:eastAsia="Arial" w:hAnsi="Arial"/>
                <w:sz w:val="19"/>
                <w:szCs w:val="19"/>
                <w:color w:val="auto"/>
                <w:w w:val="98"/>
              </w:rPr>
              <w:t>Any awards granted under the 2020 LTIP (including any amounts or benefits payable under such awards)</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8960" w:type="dxa"/>
            <w:vAlign w:val="bottom"/>
          </w:tcPr>
          <w:p>
            <w:pPr>
              <w:ind w:left="240"/>
              <w:spacing w:after="0" w:line="192" w:lineRule="exact"/>
              <w:rPr>
                <w:sz w:val="20"/>
                <w:szCs w:val="20"/>
                <w:color w:val="auto"/>
              </w:rPr>
            </w:pPr>
            <w:r>
              <w:rPr>
                <w:rFonts w:ascii="Arial" w:cs="Arial" w:eastAsia="Arial" w:hAnsi="Arial"/>
                <w:sz w:val="19"/>
                <w:szCs w:val="19"/>
                <w:color w:val="auto"/>
                <w:w w:val="99"/>
              </w:rPr>
              <w:t>will be subject to the Company’s clawback or recoupment policies. The Company currently maintains the</w:t>
            </w:r>
          </w:p>
        </w:tc>
        <w:tc>
          <w:tcPr>
            <w:tcW w:w="0" w:type="dxa"/>
            <w:vAlign w:val="bottom"/>
          </w:tcPr>
          <w:p>
            <w:pPr>
              <w:spacing w:after="0"/>
              <w:rPr>
                <w:sz w:val="1"/>
                <w:szCs w:val="1"/>
                <w:color w:val="auto"/>
              </w:rPr>
            </w:pPr>
          </w:p>
        </w:tc>
      </w:tr>
      <w:tr>
        <w:trPr>
          <w:trHeight w:val="216"/>
        </w:trPr>
        <w:tc>
          <w:tcPr>
            <w:tcW w:w="1960" w:type="dxa"/>
            <w:vAlign w:val="bottom"/>
          </w:tcPr>
          <w:p>
            <w:pPr>
              <w:ind w:left="100"/>
              <w:spacing w:after="0" w:line="216" w:lineRule="exact"/>
              <w:rPr>
                <w:sz w:val="20"/>
                <w:szCs w:val="20"/>
                <w:color w:val="auto"/>
              </w:rPr>
            </w:pPr>
            <w:r>
              <w:rPr>
                <w:rFonts w:ascii="Arial" w:cs="Arial" w:eastAsia="Arial" w:hAnsi="Arial"/>
                <w:sz w:val="19"/>
                <w:szCs w:val="19"/>
                <w:b w:val="1"/>
                <w:bCs w:val="1"/>
                <w:color w:val="auto"/>
              </w:rPr>
              <w:t>Recoupment</w:t>
            </w:r>
          </w:p>
        </w:tc>
        <w:tc>
          <w:tcPr>
            <w:tcW w:w="8960" w:type="dxa"/>
            <w:vAlign w:val="bottom"/>
          </w:tcPr>
          <w:p>
            <w:pPr>
              <w:ind w:left="240"/>
              <w:spacing w:after="0" w:line="216" w:lineRule="exact"/>
              <w:rPr>
                <w:sz w:val="20"/>
                <w:szCs w:val="20"/>
                <w:color w:val="auto"/>
              </w:rPr>
            </w:pPr>
            <w:r>
              <w:rPr>
                <w:rFonts w:ascii="Arial" w:cs="Arial" w:eastAsia="Arial" w:hAnsi="Arial"/>
                <w:sz w:val="19"/>
                <w:szCs w:val="19"/>
                <w:color w:val="auto"/>
              </w:rPr>
              <w:t>General  Motors  Policy  on  Recoupment  of  Incentive  Compensation,  which  is  available</w:t>
            </w: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1"/>
                <w:szCs w:val="21"/>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 xml:space="preserve">at </w:t>
            </w:r>
            <w:r>
              <w:rPr>
                <w:rFonts w:ascii="Arial" w:cs="Arial" w:eastAsia="Arial" w:hAnsi="Arial"/>
                <w:sz w:val="19"/>
                <w:szCs w:val="19"/>
                <w:i w:val="1"/>
                <w:iCs w:val="1"/>
                <w:color w:val="00A1DF"/>
              </w:rPr>
              <w:t>investor.gm.com/resources</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64"/>
        </w:trPr>
        <w:tc>
          <w:tcPr>
            <w:tcW w:w="19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The 2020 LTIP may be amended by the Board of Directors or the Compensation Committee, generally</w:t>
            </w:r>
          </w:p>
        </w:tc>
        <w:tc>
          <w:tcPr>
            <w:tcW w:w="0" w:type="dxa"/>
            <w:vAlign w:val="bottom"/>
          </w:tcPr>
          <w:p>
            <w:pPr>
              <w:spacing w:after="0"/>
              <w:rPr>
                <w:sz w:val="1"/>
                <w:szCs w:val="1"/>
                <w:color w:val="auto"/>
              </w:rPr>
            </w:pPr>
          </w:p>
        </w:tc>
      </w:tr>
      <w:tr>
        <w:trPr>
          <w:trHeight w:val="214"/>
        </w:trPr>
        <w:tc>
          <w:tcPr>
            <w:tcW w:w="196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Plan</w:t>
            </w: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rPr>
              <w:t>subject to shareholder approval to the extent required by applicable law or applicable stock exchange</w:t>
            </w:r>
          </w:p>
        </w:tc>
        <w:tc>
          <w:tcPr>
            <w:tcW w:w="0" w:type="dxa"/>
            <w:vAlign w:val="bottom"/>
          </w:tcPr>
          <w:p>
            <w:pPr>
              <w:spacing w:after="0"/>
              <w:rPr>
                <w:sz w:val="1"/>
                <w:szCs w:val="1"/>
                <w:color w:val="auto"/>
              </w:rPr>
            </w:pPr>
          </w:p>
        </w:tc>
      </w:tr>
      <w:tr>
        <w:trPr>
          <w:trHeight w:val="85"/>
        </w:trPr>
        <w:tc>
          <w:tcPr>
            <w:tcW w:w="1960" w:type="dxa"/>
            <w:vAlign w:val="bottom"/>
            <w:vMerge w:val="continue"/>
          </w:tcPr>
          <w:p>
            <w:pPr>
              <w:spacing w:after="0"/>
              <w:rPr>
                <w:sz w:val="7"/>
                <w:szCs w:val="7"/>
                <w:color w:val="auto"/>
              </w:rPr>
            </w:pPr>
          </w:p>
        </w:tc>
        <w:tc>
          <w:tcPr>
            <w:tcW w:w="8960" w:type="dxa"/>
            <w:vAlign w:val="bottom"/>
            <w:vMerge w:val="restart"/>
          </w:tcPr>
          <w:p>
            <w:pPr>
              <w:ind w:left="240"/>
              <w:spacing w:after="0" w:line="214" w:lineRule="exact"/>
              <w:rPr>
                <w:sz w:val="20"/>
                <w:szCs w:val="20"/>
                <w:color w:val="auto"/>
              </w:rPr>
            </w:pPr>
            <w:r>
              <w:rPr>
                <w:rFonts w:ascii="Arial" w:cs="Arial" w:eastAsia="Arial" w:hAnsi="Arial"/>
                <w:sz w:val="19"/>
                <w:szCs w:val="19"/>
                <w:color w:val="auto"/>
              </w:rPr>
              <w:t>rules and the consent of the affected participant if the amendment would materially adversely affect the</w:t>
            </w:r>
          </w:p>
        </w:tc>
        <w:tc>
          <w:tcPr>
            <w:tcW w:w="0" w:type="dxa"/>
            <w:vAlign w:val="bottom"/>
          </w:tcPr>
          <w:p>
            <w:pPr>
              <w:spacing w:after="0"/>
              <w:rPr>
                <w:sz w:val="1"/>
                <w:szCs w:val="1"/>
                <w:color w:val="auto"/>
              </w:rPr>
            </w:pPr>
          </w:p>
        </w:tc>
      </w:tr>
      <w:tr>
        <w:trPr>
          <w:trHeight w:val="129"/>
        </w:trPr>
        <w:tc>
          <w:tcPr>
            <w:tcW w:w="196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Amendments</w:t>
            </w: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60" w:type="dxa"/>
            <w:vAlign w:val="bottom"/>
            <w:vMerge w:val="continue"/>
          </w:tcPr>
          <w:p>
            <w:pPr>
              <w:spacing w:after="0"/>
              <w:rPr>
                <w:sz w:val="10"/>
                <w:szCs w:val="10"/>
                <w:color w:val="auto"/>
              </w:rPr>
            </w:pPr>
          </w:p>
        </w:tc>
        <w:tc>
          <w:tcPr>
            <w:tcW w:w="8960" w:type="dxa"/>
            <w:vAlign w:val="bottom"/>
            <w:vMerge w:val="restart"/>
          </w:tcPr>
          <w:p>
            <w:pPr>
              <w:ind w:left="240"/>
              <w:spacing w:after="0" w:line="214" w:lineRule="exact"/>
              <w:rPr>
                <w:sz w:val="20"/>
                <w:szCs w:val="20"/>
                <w:color w:val="auto"/>
              </w:rPr>
            </w:pPr>
            <w:r>
              <w:rPr>
                <w:rFonts w:ascii="Arial" w:cs="Arial" w:eastAsia="Arial" w:hAnsi="Arial"/>
                <w:sz w:val="19"/>
                <w:szCs w:val="19"/>
                <w:color w:val="auto"/>
                <w:w w:val="98"/>
              </w:rPr>
              <w:t>rights of such participant under any outstanding award, and subject to certain other limitations included in</w:t>
            </w:r>
          </w:p>
        </w:tc>
        <w:tc>
          <w:tcPr>
            <w:tcW w:w="0" w:type="dxa"/>
            <w:vAlign w:val="bottom"/>
          </w:tcPr>
          <w:p>
            <w:pPr>
              <w:spacing w:after="0"/>
              <w:rPr>
                <w:sz w:val="1"/>
                <w:szCs w:val="1"/>
                <w:color w:val="auto"/>
              </w:rPr>
            </w:pPr>
          </w:p>
        </w:tc>
      </w:tr>
      <w:tr>
        <w:trPr>
          <w:trHeight w:val="96"/>
        </w:trPr>
        <w:tc>
          <w:tcPr>
            <w:tcW w:w="1960" w:type="dxa"/>
            <w:vAlign w:val="bottom"/>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the 2020 LTIP.</w:t>
            </w:r>
          </w:p>
        </w:tc>
        <w:tc>
          <w:tcPr>
            <w:tcW w:w="0" w:type="dxa"/>
            <w:vAlign w:val="bottom"/>
          </w:tcPr>
          <w:p>
            <w:pPr>
              <w:spacing w:after="0"/>
              <w:rPr>
                <w:sz w:val="1"/>
                <w:szCs w:val="1"/>
                <w:color w:val="auto"/>
              </w:rPr>
            </w:pPr>
          </w:p>
        </w:tc>
      </w:tr>
      <w:tr>
        <w:trPr>
          <w:trHeight w:val="64"/>
        </w:trPr>
        <w:tc>
          <w:tcPr>
            <w:tcW w:w="19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The 2020 LTIP is effective as of June 17, 2020, subject to the approval of shareholders, and no awards</w:t>
            </w:r>
          </w:p>
        </w:tc>
        <w:tc>
          <w:tcPr>
            <w:tcW w:w="0" w:type="dxa"/>
            <w:vAlign w:val="bottom"/>
          </w:tcPr>
          <w:p>
            <w:pPr>
              <w:spacing w:after="0"/>
              <w:rPr>
                <w:sz w:val="1"/>
                <w:szCs w:val="1"/>
                <w:color w:val="auto"/>
              </w:rPr>
            </w:pPr>
          </w:p>
        </w:tc>
      </w:tr>
      <w:tr>
        <w:trPr>
          <w:trHeight w:val="214"/>
        </w:trPr>
        <w:tc>
          <w:tcPr>
            <w:tcW w:w="196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Plan Term</w:t>
            </w:r>
          </w:p>
        </w:tc>
        <w:tc>
          <w:tcPr>
            <w:tcW w:w="8960" w:type="dxa"/>
            <w:vAlign w:val="bottom"/>
          </w:tcPr>
          <w:p>
            <w:pPr>
              <w:ind w:left="240"/>
              <w:spacing w:after="0" w:line="214" w:lineRule="exact"/>
              <w:rPr>
                <w:sz w:val="20"/>
                <w:szCs w:val="20"/>
                <w:color w:val="auto"/>
              </w:rPr>
            </w:pPr>
            <w:r>
              <w:rPr>
                <w:rFonts w:ascii="Arial" w:cs="Arial" w:eastAsia="Arial" w:hAnsi="Arial"/>
                <w:sz w:val="19"/>
                <w:szCs w:val="19"/>
                <w:color w:val="auto"/>
                <w:w w:val="99"/>
              </w:rPr>
              <w:t>will be granted under the 2020 LTIP after June 17, 2030, or such earlier time as the maximum number of</w:t>
            </w:r>
          </w:p>
        </w:tc>
        <w:tc>
          <w:tcPr>
            <w:tcW w:w="0" w:type="dxa"/>
            <w:vAlign w:val="bottom"/>
          </w:tcPr>
          <w:p>
            <w:pPr>
              <w:spacing w:after="0"/>
              <w:rPr>
                <w:sz w:val="1"/>
                <w:szCs w:val="1"/>
                <w:color w:val="auto"/>
              </w:rPr>
            </w:pPr>
          </w:p>
        </w:tc>
      </w:tr>
      <w:tr>
        <w:trPr>
          <w:trHeight w:val="118"/>
        </w:trPr>
        <w:tc>
          <w:tcPr>
            <w:tcW w:w="1960" w:type="dxa"/>
            <w:vAlign w:val="bottom"/>
            <w:vMerge w:val="continue"/>
          </w:tcPr>
          <w:p>
            <w:pPr>
              <w:spacing w:after="0"/>
              <w:rPr>
                <w:sz w:val="10"/>
                <w:szCs w:val="10"/>
                <w:color w:val="auto"/>
              </w:rPr>
            </w:pPr>
          </w:p>
        </w:tc>
        <w:tc>
          <w:tcPr>
            <w:tcW w:w="8960" w:type="dxa"/>
            <w:vAlign w:val="bottom"/>
            <w:vMerge w:val="restart"/>
          </w:tcPr>
          <w:p>
            <w:pPr>
              <w:ind w:left="240"/>
              <w:spacing w:after="0" w:line="214" w:lineRule="exact"/>
              <w:rPr>
                <w:sz w:val="20"/>
                <w:szCs w:val="20"/>
                <w:color w:val="auto"/>
              </w:rPr>
            </w:pPr>
            <w:r>
              <w:rPr>
                <w:rFonts w:ascii="Arial" w:cs="Arial" w:eastAsia="Arial" w:hAnsi="Arial"/>
                <w:sz w:val="19"/>
                <w:szCs w:val="19"/>
                <w:color w:val="auto"/>
              </w:rPr>
              <w:t>shares available for issuance under the 2020 LTIP have been issued or the Board terminates the 2020</w:t>
            </w:r>
          </w:p>
        </w:tc>
        <w:tc>
          <w:tcPr>
            <w:tcW w:w="0" w:type="dxa"/>
            <w:vAlign w:val="bottom"/>
          </w:tcPr>
          <w:p>
            <w:pPr>
              <w:spacing w:after="0"/>
              <w:rPr>
                <w:sz w:val="1"/>
                <w:szCs w:val="1"/>
                <w:color w:val="auto"/>
              </w:rPr>
            </w:pPr>
          </w:p>
        </w:tc>
      </w:tr>
      <w:tr>
        <w:trPr>
          <w:trHeight w:val="96"/>
        </w:trPr>
        <w:tc>
          <w:tcPr>
            <w:tcW w:w="1960" w:type="dxa"/>
            <w:vAlign w:val="bottom"/>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9"/>
                <w:szCs w:val="19"/>
                <w:color w:val="auto"/>
              </w:rPr>
              <w:t>LTIP.</w:t>
            </w:r>
          </w:p>
        </w:tc>
        <w:tc>
          <w:tcPr>
            <w:tcW w:w="0" w:type="dxa"/>
            <w:vAlign w:val="bottom"/>
          </w:tcPr>
          <w:p>
            <w:pPr>
              <w:spacing w:after="0"/>
              <w:rPr>
                <w:sz w:val="1"/>
                <w:szCs w:val="1"/>
                <w:color w:val="auto"/>
              </w:rPr>
            </w:pPr>
          </w:p>
        </w:tc>
      </w:tr>
      <w:tr>
        <w:trPr>
          <w:trHeight w:val="64"/>
        </w:trPr>
        <w:tc>
          <w:tcPr>
            <w:tcW w:w="19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93345</wp:posOffset>
            </wp:positionV>
            <wp:extent cx="6793865" cy="1016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86</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34"/>
        </w:numPr>
        <w:rPr>
          <w:rFonts w:ascii="Arial" w:cs="Arial" w:eastAsia="Arial" w:hAnsi="Arial"/>
          <w:sz w:val="25"/>
          <w:szCs w:val="25"/>
          <w:color w:val="0033A0"/>
        </w:rPr>
      </w:pPr>
      <w:r>
        <w:rPr>
          <w:rFonts w:ascii="Arial" w:cs="Arial" w:eastAsia="Arial" w:hAnsi="Arial"/>
          <w:sz w:val="25"/>
          <w:szCs w:val="25"/>
          <w:color w:val="auto"/>
        </w:rPr>
        <w:t>New Plan Benefits</w:t>
      </w:r>
    </w:p>
    <w:p>
      <w:pPr>
        <w:spacing w:after="0" w:line="149" w:lineRule="exact"/>
        <w:rPr>
          <w:sz w:val="20"/>
          <w:szCs w:val="20"/>
          <w:color w:val="auto"/>
        </w:rPr>
      </w:pPr>
    </w:p>
    <w:p>
      <w:pPr>
        <w:jc w:val="both"/>
        <w:ind w:left="160" w:right="20"/>
        <w:spacing w:after="0" w:line="230" w:lineRule="auto"/>
        <w:rPr>
          <w:sz w:val="20"/>
          <w:szCs w:val="20"/>
          <w:color w:val="auto"/>
        </w:rPr>
      </w:pPr>
      <w:r>
        <w:rPr>
          <w:rFonts w:ascii="Arial" w:cs="Arial" w:eastAsia="Arial" w:hAnsi="Arial"/>
          <w:sz w:val="20"/>
          <w:szCs w:val="20"/>
          <w:color w:val="auto"/>
        </w:rPr>
        <w:t>The dollar value and number of awards to be granted in the future to eligible participants under the 2020 LTIP are generally not currently determinable because the value and number of such awards are subject to the discretion of the Compensation Committee.</w:t>
      </w:r>
    </w:p>
    <w:p>
      <w:pPr>
        <w:spacing w:after="0" w:line="320" w:lineRule="exact"/>
        <w:rPr>
          <w:sz w:val="20"/>
          <w:szCs w:val="20"/>
          <w:color w:val="auto"/>
        </w:rPr>
      </w:pPr>
    </w:p>
    <w:p>
      <w:pPr>
        <w:ind w:left="700" w:hanging="533"/>
        <w:spacing w:after="0"/>
        <w:tabs>
          <w:tab w:leader="none" w:pos="700" w:val="left"/>
        </w:tabs>
        <w:numPr>
          <w:ilvl w:val="0"/>
          <w:numId w:val="135"/>
        </w:numPr>
        <w:rPr>
          <w:rFonts w:ascii="Arial" w:cs="Arial" w:eastAsia="Arial" w:hAnsi="Arial"/>
          <w:sz w:val="25"/>
          <w:szCs w:val="25"/>
          <w:color w:val="0033A0"/>
        </w:rPr>
      </w:pPr>
      <w:r>
        <w:rPr>
          <w:rFonts w:ascii="Arial" w:cs="Arial" w:eastAsia="Arial" w:hAnsi="Arial"/>
          <w:sz w:val="25"/>
          <w:szCs w:val="25"/>
          <w:color w:val="auto"/>
        </w:rPr>
        <w:t>Federal Income Tax Consequences for Awards</w:t>
      </w:r>
    </w:p>
    <w:p>
      <w:pPr>
        <w:spacing w:after="0" w:line="135"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Applicable disclosure rules require us to include a brief summary of the federal income tax consequences applicable to awards that may be granted under the 2020 LTIP. This summary is not intended to be exhaustive, does not constitute tax advice and, among other things, does not describe state, local or foreign tax consequences, which may be substantially different.</w:t>
      </w:r>
    </w:p>
    <w:p>
      <w:pPr>
        <w:spacing w:after="0" w:line="105" w:lineRule="exact"/>
        <w:rPr>
          <w:sz w:val="20"/>
          <w:szCs w:val="20"/>
          <w:color w:val="auto"/>
        </w:rPr>
      </w:pPr>
    </w:p>
    <w:p>
      <w:pPr>
        <w:jc w:val="both"/>
        <w:ind w:left="160" w:right="20"/>
        <w:spacing w:after="0" w:line="229" w:lineRule="auto"/>
        <w:rPr>
          <w:sz w:val="20"/>
          <w:szCs w:val="20"/>
          <w:color w:val="auto"/>
        </w:rPr>
      </w:pPr>
      <w:r>
        <w:rPr>
          <w:rFonts w:ascii="Arial" w:cs="Arial" w:eastAsia="Arial" w:hAnsi="Arial"/>
          <w:sz w:val="20"/>
          <w:szCs w:val="20"/>
          <w:b w:val="1"/>
          <w:bCs w:val="1"/>
          <w:color w:val="0033A0"/>
        </w:rPr>
        <w:t xml:space="preserve">Non-Qualified Stock Options – </w:t>
      </w:r>
      <w:r>
        <w:rPr>
          <w:rFonts w:ascii="Arial" w:cs="Arial" w:eastAsia="Arial" w:hAnsi="Arial"/>
          <w:sz w:val="20"/>
          <w:szCs w:val="20"/>
          <w:color w:val="000000"/>
        </w:rPr>
        <w:t>When an optionee exercises a stock option, the amount by which the fair market value of the</w:t>
      </w:r>
      <w:r>
        <w:rPr>
          <w:rFonts w:ascii="Arial" w:cs="Arial" w:eastAsia="Arial" w:hAnsi="Arial"/>
          <w:sz w:val="20"/>
          <w:szCs w:val="20"/>
          <w:b w:val="1"/>
          <w:bCs w:val="1"/>
          <w:color w:val="0033A0"/>
        </w:rPr>
        <w:t xml:space="preserve"> </w:t>
      </w:r>
      <w:r>
        <w:rPr>
          <w:rFonts w:ascii="Arial" w:cs="Arial" w:eastAsia="Arial" w:hAnsi="Arial"/>
          <w:sz w:val="20"/>
          <w:szCs w:val="20"/>
          <w:color w:val="000000"/>
        </w:rPr>
        <w:t>stock underlying the stock option on the date of exercise exceeds the aggregate exercise price of the stock option is taxed as ordinary income to the optionee in the year of exercise and generally will be allowed as a deduction for federal income tax purposes to the Company in the same year. When an optionee disposes of shares acquired by the exercise of the stock option, any amount received in excess of the fair market value of the shares on the date of exercise will be treated as a long-term or short-term capital gain to the optionee, depending upon the holding period of the shares. If the amount received is less than the market value of the shares on the date of exercise, the loss will be treated as a long-term or short-term capital loss, depending upon the holding period of the shares.</w:t>
      </w:r>
    </w:p>
    <w:p>
      <w:pPr>
        <w:spacing w:after="0" w:line="103"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9"/>
          <w:szCs w:val="19"/>
          <w:b w:val="1"/>
          <w:bCs w:val="1"/>
          <w:color w:val="0033A0"/>
        </w:rPr>
        <w:t xml:space="preserve">Incentive Stock Options – </w:t>
      </w:r>
      <w:r>
        <w:rPr>
          <w:rFonts w:ascii="Arial" w:cs="Arial" w:eastAsia="Arial" w:hAnsi="Arial"/>
          <w:sz w:val="19"/>
          <w:szCs w:val="19"/>
          <w:color w:val="000000"/>
        </w:rPr>
        <w:t>When an optionee exercises an incentive stock option while employed by the Company or a</w:t>
      </w:r>
      <w:r>
        <w:rPr>
          <w:rFonts w:ascii="Arial" w:cs="Arial" w:eastAsia="Arial" w:hAnsi="Arial"/>
          <w:sz w:val="19"/>
          <w:szCs w:val="19"/>
          <w:b w:val="1"/>
          <w:bCs w:val="1"/>
          <w:color w:val="0033A0"/>
        </w:rPr>
        <w:t xml:space="preserve"> </w:t>
      </w:r>
      <w:r>
        <w:rPr>
          <w:rFonts w:ascii="Arial" w:cs="Arial" w:eastAsia="Arial" w:hAnsi="Arial"/>
          <w:sz w:val="19"/>
          <w:szCs w:val="19"/>
          <w:color w:val="000000"/>
        </w:rPr>
        <w:t>subsidiary or within the three-month (one year for disability) period after termination of service, no ordinary income (other than alternative minimum tax) will be recognized by the optionee at that time. If the shares acquired upon exercise are not disposed of until more than two years after the stock option was granted and one year after the date of exercise, the excess of the sale proceeds over the aggregate exercise price of such shares will be treated as long-term capital gain to the optionee, and the Company will not be entitled to a tax deduction under such circumstances. However, if the shares are disposed of prior to such date (a “disqualifying disposition”), any portion of the proceeds representing the excess of the fair market value of such shares at the time of exercise over the aggregate exercise price (but generally not more than the amount of gain realized on the disposition) will generally be ordinary income to the optionee at the time of such disqualifying disposition and the Company generally will be entitled to a federal tax deduction equal to the amount of ordinary income so recognized by the optionee. If an incentive stock option is exercised more than three months (one year for disability) after termination of service, the tax consequences are the same as described above for non-qualified stock options.</w:t>
      </w:r>
    </w:p>
    <w:p>
      <w:pPr>
        <w:spacing w:after="0" w:line="91" w:lineRule="exact"/>
        <w:rPr>
          <w:sz w:val="20"/>
          <w:szCs w:val="20"/>
          <w:color w:val="auto"/>
        </w:rPr>
      </w:pPr>
    </w:p>
    <w:p>
      <w:pPr>
        <w:jc w:val="both"/>
        <w:ind w:left="160" w:right="20"/>
        <w:spacing w:after="0" w:line="229" w:lineRule="auto"/>
        <w:rPr>
          <w:sz w:val="20"/>
          <w:szCs w:val="20"/>
          <w:color w:val="auto"/>
        </w:rPr>
      </w:pPr>
      <w:r>
        <w:rPr>
          <w:rFonts w:ascii="Arial" w:cs="Arial" w:eastAsia="Arial" w:hAnsi="Arial"/>
          <w:sz w:val="20"/>
          <w:szCs w:val="20"/>
          <w:b w:val="1"/>
          <w:bCs w:val="1"/>
          <w:color w:val="0033A0"/>
        </w:rPr>
        <w:t xml:space="preserve">Restricted Stock – </w:t>
      </w:r>
      <w:r>
        <w:rPr>
          <w:rFonts w:ascii="Arial" w:cs="Arial" w:eastAsia="Arial" w:hAnsi="Arial"/>
          <w:sz w:val="20"/>
          <w:szCs w:val="20"/>
          <w:color w:val="000000"/>
        </w:rPr>
        <w:t>A participant generally will not be taxed upon the grant of restricted stock, but rather will recognize</w:t>
      </w:r>
      <w:r>
        <w:rPr>
          <w:rFonts w:ascii="Arial" w:cs="Arial" w:eastAsia="Arial" w:hAnsi="Arial"/>
          <w:sz w:val="20"/>
          <w:szCs w:val="20"/>
          <w:b w:val="1"/>
          <w:bCs w:val="1"/>
          <w:color w:val="0033A0"/>
        </w:rPr>
        <w:t xml:space="preserve"> </w:t>
      </w:r>
      <w:r>
        <w:rPr>
          <w:rFonts w:ascii="Arial" w:cs="Arial" w:eastAsia="Arial" w:hAnsi="Arial"/>
          <w:sz w:val="20"/>
          <w:szCs w:val="20"/>
          <w:color w:val="000000"/>
        </w:rPr>
        <w:t>ordinary income in an amount equal to the fair market value of the stock at the time the stock vests. The Company will be entitled to a deduction at the time when, and in the amount that, the participant recognizes ordinary income on account of such vesting. Under Section 83(b) of the IRC, a participant may elect to recognize ordinary income at the time the restricted stock is awarded in an amount equal to the fair market value of the restricted stock at that time, notwithstanding the fact that such restricted stock is unvested. If such an election is made, no additional taxable income will be recognized by such participant at the time the restricted stock vests. The Company generally will be entitled to a tax deduction at the time when, and to the extent that, ordinary income is recognized by the participant.</w:t>
      </w:r>
    </w:p>
    <w:p>
      <w:pPr>
        <w:spacing w:after="0" w:line="103" w:lineRule="exact"/>
        <w:rPr>
          <w:sz w:val="20"/>
          <w:szCs w:val="20"/>
          <w:color w:val="auto"/>
        </w:rPr>
      </w:pPr>
    </w:p>
    <w:p>
      <w:pPr>
        <w:jc w:val="both"/>
        <w:ind w:left="160" w:right="20"/>
        <w:spacing w:after="0" w:line="235" w:lineRule="auto"/>
        <w:rPr>
          <w:sz w:val="20"/>
          <w:szCs w:val="20"/>
          <w:color w:val="auto"/>
        </w:rPr>
      </w:pPr>
      <w:r>
        <w:rPr>
          <w:rFonts w:ascii="Arial" w:cs="Arial" w:eastAsia="Arial" w:hAnsi="Arial"/>
          <w:sz w:val="20"/>
          <w:szCs w:val="20"/>
          <w:b w:val="1"/>
          <w:bCs w:val="1"/>
          <w:color w:val="0033A0"/>
        </w:rPr>
        <w:t xml:space="preserve">RSUs – </w:t>
      </w:r>
      <w:r>
        <w:rPr>
          <w:rFonts w:ascii="Arial" w:cs="Arial" w:eastAsia="Arial" w:hAnsi="Arial"/>
          <w:sz w:val="20"/>
          <w:szCs w:val="20"/>
          <w:color w:val="000000"/>
        </w:rPr>
        <w:t>A participant generally will not be taxed upon the grant of RSUs (including PSUs), but rather will recognize ordinary</w:t>
      </w:r>
      <w:r>
        <w:rPr>
          <w:rFonts w:ascii="Arial" w:cs="Arial" w:eastAsia="Arial" w:hAnsi="Arial"/>
          <w:sz w:val="20"/>
          <w:szCs w:val="20"/>
          <w:b w:val="1"/>
          <w:bCs w:val="1"/>
          <w:color w:val="0033A0"/>
        </w:rPr>
        <w:t xml:space="preserve"> </w:t>
      </w:r>
      <w:r>
        <w:rPr>
          <w:rFonts w:ascii="Arial" w:cs="Arial" w:eastAsia="Arial" w:hAnsi="Arial"/>
          <w:sz w:val="20"/>
          <w:szCs w:val="20"/>
          <w:color w:val="000000"/>
        </w:rPr>
        <w:t>income in an amount equal to the fair market value of the shares received at the time of settlement of such an award in shares or the cash payment received if the award is settled in cash. The Company generally will be entitled to a tax deduction at the same time and in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87</w:t>
      </w:r>
    </w:p>
    <w:p>
      <w:pPr>
        <w:sectPr>
          <w:pgSz w:w="11900" w:h="16838" w:orient="portrait"/>
          <w:cols w:equalWidth="0" w:num="1">
            <w:col w:w="11100"/>
          </w:cols>
          <w:pgMar w:left="320" w:top="456"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A1DF"/>
        </w:rPr>
        <w:t xml:space="preserve">ITEM NO. 5 </w:t>
      </w:r>
      <w:r>
        <w:rPr>
          <w:rFonts w:ascii="Arial" w:cs="Arial" w:eastAsia="Arial" w:hAnsi="Arial"/>
          <w:sz w:val="14"/>
          <w:szCs w:val="14"/>
          <w:b w:val="1"/>
          <w:bCs w:val="1"/>
          <w:color w:val="0033A0"/>
        </w:rPr>
        <w:t>– APPROVAL OF THE GENERAL MOTORS COMPANY 2020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spacing w:after="0" w:line="235" w:lineRule="auto"/>
        <w:rPr>
          <w:sz w:val="20"/>
          <w:szCs w:val="20"/>
          <w:color w:val="auto"/>
        </w:rPr>
      </w:pPr>
      <w:r>
        <w:rPr>
          <w:rFonts w:ascii="Arial" w:cs="Arial" w:eastAsia="Arial" w:hAnsi="Arial"/>
          <w:sz w:val="20"/>
          <w:szCs w:val="20"/>
          <w:b w:val="1"/>
          <w:bCs w:val="1"/>
          <w:color w:val="0033A0"/>
        </w:rPr>
        <w:t xml:space="preserve">Other Awards – </w:t>
      </w:r>
      <w:r>
        <w:rPr>
          <w:rFonts w:ascii="Arial" w:cs="Arial" w:eastAsia="Arial" w:hAnsi="Arial"/>
          <w:sz w:val="20"/>
          <w:szCs w:val="20"/>
          <w:color w:val="000000"/>
        </w:rPr>
        <w:t>With respect to other awards granted under the 2020 LTIP, including other stock-based awards and cash</w:t>
      </w:r>
      <w:r>
        <w:rPr>
          <w:rFonts w:ascii="Arial" w:cs="Arial" w:eastAsia="Arial" w:hAnsi="Arial"/>
          <w:sz w:val="20"/>
          <w:szCs w:val="20"/>
          <w:b w:val="1"/>
          <w:bCs w:val="1"/>
          <w:color w:val="0033A0"/>
        </w:rPr>
        <w:t xml:space="preserve"> </w:t>
      </w:r>
      <w:r>
        <w:rPr>
          <w:rFonts w:ascii="Arial" w:cs="Arial" w:eastAsia="Arial" w:hAnsi="Arial"/>
          <w:sz w:val="20"/>
          <w:szCs w:val="20"/>
          <w:color w:val="000000"/>
        </w:rPr>
        <w:t>incentive awards, a participant generally will recognize ordinary income equal to the payment received with respect to an award paid in cash and/or the fair market value of any shares or other property received. The Company generally will be entitled to a tax deduction at the same time and in the same amount.</w:t>
      </w:r>
    </w:p>
    <w:p>
      <w:pPr>
        <w:spacing w:after="0" w:line="126"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Under Section 162(m) of the Code, the deductibility of compensation paid to certain individuals is limited to $1,000,000 per person per year. These individuals include our Chief Executive Officer, Chief Financial Officer and certain other executive officers (including, but not necessarily limited to, our next three other most highly compensated named executive officers other than the Chief Executive Officer and Chief Financial Officer and certain individuals who were subject to Section 162(m) at the Company for the 2017 calendar year or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38010" cy="679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38010" cy="67945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5" w:lineRule="exact"/>
        <w:rPr>
          <w:sz w:val="20"/>
          <w:szCs w:val="20"/>
          <w:color w:val="auto"/>
        </w:rPr>
      </w:pPr>
    </w:p>
    <w:p>
      <w:pPr>
        <w:ind w:left="500" w:right="280"/>
        <w:spacing w:after="0" w:line="281" w:lineRule="auto"/>
        <w:rPr>
          <w:sz w:val="20"/>
          <w:szCs w:val="20"/>
          <w:color w:val="auto"/>
        </w:rPr>
      </w:pPr>
      <w:r>
        <w:rPr>
          <w:rFonts w:ascii="Arial" w:cs="Arial" w:eastAsia="Arial" w:hAnsi="Arial"/>
          <w:sz w:val="25"/>
          <w:szCs w:val="25"/>
          <w:b w:val="1"/>
          <w:bCs w:val="1"/>
          <w:color w:val="0033A0"/>
        </w:rPr>
        <w:t xml:space="preserve">The Board recommends a vote </w:t>
      </w:r>
      <w:r>
        <w:rPr>
          <w:rFonts w:ascii="Arial" w:cs="Arial" w:eastAsia="Arial" w:hAnsi="Arial"/>
          <w:sz w:val="25"/>
          <w:szCs w:val="25"/>
          <w:b w:val="1"/>
          <w:bCs w:val="1"/>
          <w:u w:val="single" w:color="auto"/>
          <w:color w:val="00A1DF"/>
        </w:rPr>
        <w:t>FOR</w:t>
      </w:r>
      <w:r>
        <w:rPr>
          <w:rFonts w:ascii="Arial" w:cs="Arial" w:eastAsia="Arial" w:hAnsi="Arial"/>
          <w:sz w:val="25"/>
          <w:szCs w:val="25"/>
          <w:b w:val="1"/>
          <w:bCs w:val="1"/>
          <w:color w:val="0033A0"/>
        </w:rPr>
        <w:t xml:space="preserve"> the approval of the General Motors Company 2020 Long-Term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8"/>
          <w:szCs w:val="28"/>
          <w:b w:val="1"/>
          <w:bCs w:val="1"/>
          <w:color w:val="0033A0"/>
        </w:rPr>
        <w:t>FOR</w:t>
      </w:r>
    </w:p>
    <w:p>
      <w:pPr>
        <w:spacing w:after="0" w:line="241" w:lineRule="exact"/>
        <w:rPr>
          <w:sz w:val="20"/>
          <w:szCs w:val="20"/>
          <w:color w:val="auto"/>
        </w:rPr>
      </w:pPr>
    </w:p>
    <w:p>
      <w:pPr>
        <w:sectPr>
          <w:pgSz w:w="11900" w:h="16838" w:orient="portrait"/>
          <w:cols w:equalWidth="0" w:num="2">
            <w:col w:w="9220" w:space="720"/>
            <w:col w:w="1140"/>
          </w:cols>
          <w:pgMar w:left="320" w:top="456" w:right="499" w:bottom="1440" w:gutter="0" w:footer="0" w:header="0"/>
          <w:type w:val="continuous"/>
        </w:sectPr>
      </w:pPr>
    </w:p>
    <w:p>
      <w:pPr>
        <w:spacing w:after="0" w:line="175"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88 </w:t>
      </w:r>
      <w:r>
        <w:rPr>
          <w:sz w:val="1"/>
          <w:szCs w:val="1"/>
          <w:color w:val="auto"/>
        </w:rPr>
        <w:drawing>
          <wp:inline distT="0" distB="0" distL="0" distR="0">
            <wp:extent cx="6793865" cy="10160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3720465</wp:posOffset>
            </wp:positionV>
            <wp:extent cx="6793865" cy="1016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89</w:t>
      </w:r>
    </w:p>
    <w:p>
      <w:pPr>
        <w:sectPr>
          <w:pgSz w:w="11900" w:h="16838" w:orient="portrait"/>
          <w:cols w:equalWidth="0" w:num="1">
            <w:col w:w="11100"/>
          </w:cols>
          <w:pgMar w:left="320" w:top="456"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680" w:right="1020" w:hanging="2513"/>
        <w:spacing w:after="0" w:line="281" w:lineRule="auto"/>
        <w:rPr>
          <w:sz w:val="20"/>
          <w:szCs w:val="20"/>
          <w:color w:val="auto"/>
        </w:rPr>
      </w:pPr>
      <w:r>
        <w:rPr>
          <w:rFonts w:ascii="Arial" w:cs="Arial" w:eastAsia="Arial" w:hAnsi="Arial"/>
          <w:sz w:val="37"/>
          <w:szCs w:val="37"/>
          <w:b w:val="1"/>
          <w:bCs w:val="1"/>
          <w:color w:val="00A1DF"/>
        </w:rPr>
        <w:t xml:space="preserve">ITEM NO. 6 </w:t>
      </w:r>
      <w:r>
        <w:rPr>
          <w:rFonts w:ascii="Arial" w:cs="Arial" w:eastAsia="Arial" w:hAnsi="Arial"/>
          <w:sz w:val="37"/>
          <w:szCs w:val="37"/>
          <w:color w:val="0033A0"/>
        </w:rPr>
        <w:t>– SHAREHOLDER PROPOSAL REGARDING</w:t>
      </w:r>
      <w:r>
        <w:rPr>
          <w:rFonts w:ascii="Arial" w:cs="Arial" w:eastAsia="Arial" w:hAnsi="Arial"/>
          <w:sz w:val="37"/>
          <w:szCs w:val="37"/>
          <w:b w:val="1"/>
          <w:bCs w:val="1"/>
          <w:color w:val="00A1DF"/>
        </w:rPr>
        <w:t xml:space="preserve"> </w:t>
      </w:r>
      <w:r>
        <w:rPr>
          <w:rFonts w:ascii="Arial" w:cs="Arial" w:eastAsia="Arial" w:hAnsi="Arial"/>
          <w:sz w:val="37"/>
          <w:szCs w:val="37"/>
          <w:color w:val="0033A0"/>
        </w:rPr>
        <w:t>WRITTEN CONSENT</w:t>
      </w:r>
    </w:p>
    <w:p>
      <w:pPr>
        <w:sectPr>
          <w:pgSz w:w="11900" w:h="16838" w:orient="portrait"/>
          <w:cols w:equalWidth="0" w:num="1">
            <w:col w:w="11080"/>
          </w:cols>
          <w:pgMar w:left="320" w:top="456" w:right="499" w:bottom="1440" w:gutter="0" w:footer="0" w:header="0"/>
        </w:sectPr>
      </w:pPr>
    </w:p>
    <w:p>
      <w:pPr>
        <w:spacing w:after="0" w:line="181"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i w:val="1"/>
          <w:iCs w:val="1"/>
          <w:color w:val="auto"/>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129"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Shareholders request that our board of directors take the steps necessary to permit written consent by shareholders entitled to cast the minimum number of votes that would be necessary to authorize the action at a meeting at which all shareholders entitled to vote thereon were present and voting. This written consent is to give shareholders the fullest power to act by written consent consistent with applicable law. This includes shareholder ability to initiate any appropriate topic for written consent.</w:t>
      </w:r>
    </w:p>
    <w:p>
      <w:pPr>
        <w:spacing w:after="0" w:line="133" w:lineRule="exact"/>
        <w:rPr>
          <w:sz w:val="20"/>
          <w:szCs w:val="20"/>
          <w:color w:val="auto"/>
        </w:rPr>
      </w:pPr>
    </w:p>
    <w:p>
      <w:pPr>
        <w:jc w:val="both"/>
        <w:ind w:left="160"/>
        <w:spacing w:after="0" w:line="237" w:lineRule="auto"/>
        <w:rPr>
          <w:sz w:val="20"/>
          <w:szCs w:val="20"/>
          <w:color w:val="auto"/>
        </w:rPr>
      </w:pPr>
      <w:r>
        <w:rPr>
          <w:rFonts w:ascii="Arial" w:cs="Arial" w:eastAsia="Arial" w:hAnsi="Arial"/>
          <w:sz w:val="19"/>
          <w:szCs w:val="19"/>
          <w:color w:val="auto"/>
        </w:rPr>
        <w:t>Hundreds of major companies enable shareholder action by written consent. This proposal topic won majority shareholder support at 13 large companies in a single year. This included 67%-support at both Allstate and Sprint. This proposal topic also won 63%-support at Cigna Corp. (CI) in 2019. This proposal topic would have received higher votes than 63% to 67% at these companies if more shareholders had access to independent proxy voting advice.</w:t>
      </w:r>
    </w:p>
    <w:p>
      <w:pPr>
        <w:spacing w:after="0" w:line="120"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Taking action by written consent is a means shareholders can use to raise important matters outside the normal annual meeting cycle like the election of a new director.</w:t>
      </w:r>
    </w:p>
    <w:p>
      <w:pPr>
        <w:spacing w:after="0" w:line="128"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Plus GM’s higher 25%-threshold for shareholders to call a special meeting has bureaucratic pitfalls that trigger minor shareholder errors that could mean that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50% of shares would need to ask for a special meeting in order to be sure of obtaining the minimum threshold of 25% of requests without errors. One can be sure that management will have an eagle eye to spot any errors.</w:t>
      </w:r>
    </w:p>
    <w:p>
      <w:pPr>
        <w:spacing w:after="0" w:line="12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 right for shareholders to act by written consent is gaining acceptance as a more important right than the right to call a special meeting. The directors at Intel apparently thought they could divert shareholder attention away from written consent by making it less difficult for shareholders to call a special meeting. However Intel shareholders responded with greater support for written consent in 2019 compared to 2018.</w:t>
      </w:r>
    </w:p>
    <w:p>
      <w:pPr>
        <w:spacing w:after="0" w:line="1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Following a 45%-vote (less than a majority) for a written consent shareholder proposal The Bank of New York Mellon Corporation (BK) said it adopted written consent in 2019.</w:t>
      </w:r>
    </w:p>
    <w:p>
      <w:pPr>
        <w:spacing w:after="0" w:line="114"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It is especially important to gain a shareholder right, such as written consent, to make up for our management abruptly taking away an important shareholder right – the right to an in-person annual meeting. For decades shareholders had a once-a-year opportunity to ask our $29 million paycheck CEO and directors (who earn about $30,000 a week for the time they devote to GM) questions in person.</w:t>
      </w:r>
    </w:p>
    <w:p>
      <w:pPr>
        <w:spacing w:after="0" w:line="1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timing is right to improve shareholder rights at GM since the price of GM stock has been flat since 2010 in a robust market.</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auto"/>
        </w:rPr>
        <w:t>Please vote yes: Adopt a Mainstream Shareholder Right – Written Consent – Proposal 6</w:t>
      </w:r>
    </w:p>
    <w:p>
      <w:pPr>
        <w:spacing w:after="0" w:line="46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8"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90 </w:t>
      </w:r>
      <w:r>
        <w:rPr>
          <w:sz w:val="1"/>
          <w:szCs w:val="1"/>
          <w:color w:val="auto"/>
        </w:rPr>
        <w:drawing>
          <wp:inline distT="0" distB="0" distL="0" distR="0">
            <wp:extent cx="6793865" cy="10160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A1DF"/>
        </w:rPr>
        <w:t xml:space="preserve">ITEM NO. 6 </w:t>
      </w:r>
      <w:r>
        <w:rPr>
          <w:rFonts w:ascii="Arial" w:cs="Arial" w:eastAsia="Arial" w:hAnsi="Arial"/>
          <w:sz w:val="14"/>
          <w:szCs w:val="14"/>
          <w:b w:val="1"/>
          <w:bCs w:val="1"/>
          <w:color w:val="0033A0"/>
        </w:rPr>
        <w:t>– SHAREHOLDER PROPOSAL REGARDING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57835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29755" cy="5783580"/>
                    </a:xfrm>
                    <a:prstGeom prst="rect">
                      <a:avLst/>
                    </a:prstGeom>
                    <a:noFill/>
                  </pic:spPr>
                </pic:pic>
              </a:graphicData>
            </a:graphic>
          </wp:anchor>
        </w:drawing>
      </w:r>
    </w:p>
    <w:p>
      <w:pPr>
        <w:spacing w:after="0" w:line="339" w:lineRule="exact"/>
        <w:rPr>
          <w:sz w:val="20"/>
          <w:szCs w:val="20"/>
          <w:color w:val="auto"/>
        </w:rPr>
      </w:pPr>
    </w:p>
    <w:p>
      <w:pPr>
        <w:ind w:left="420" w:right="620"/>
        <w:spacing w:after="0" w:line="281" w:lineRule="auto"/>
        <w:rPr>
          <w:sz w:val="20"/>
          <w:szCs w:val="20"/>
          <w:color w:val="auto"/>
        </w:rPr>
      </w:pPr>
      <w:r>
        <w:rPr>
          <w:rFonts w:ascii="Arial" w:cs="Arial" w:eastAsia="Arial" w:hAnsi="Arial"/>
          <w:sz w:val="25"/>
          <w:szCs w:val="25"/>
          <w:b w:val="1"/>
          <w:bCs w:val="1"/>
          <w:color w:val="0033A0"/>
        </w:rPr>
        <w:t xml:space="preserve">Your Board of Directors recommends a vote </w:t>
      </w:r>
      <w:r>
        <w:rPr>
          <w:rFonts w:ascii="Arial" w:cs="Arial" w:eastAsia="Arial" w:hAnsi="Arial"/>
          <w:sz w:val="25"/>
          <w:szCs w:val="25"/>
          <w:b w:val="1"/>
          <w:bCs w:val="1"/>
          <w:u w:val="single" w:color="auto"/>
          <w:color w:val="00A1DF"/>
        </w:rPr>
        <w:t>AGAINST</w:t>
      </w:r>
      <w:r>
        <w:rPr>
          <w:rFonts w:ascii="Arial" w:cs="Arial" w:eastAsia="Arial" w:hAnsi="Arial"/>
          <w:sz w:val="25"/>
          <w:szCs w:val="25"/>
          <w:b w:val="1"/>
          <w:bCs w:val="1"/>
          <w:color w:val="0033A0"/>
        </w:rPr>
        <w:t xml:space="preserve"> this proposal for the following reasons:</w:t>
      </w:r>
    </w:p>
    <w:p>
      <w:pPr>
        <w:sectPr>
          <w:pgSz w:w="11900" w:h="16838" w:orient="portrait"/>
          <w:cols w:equalWidth="0" w:num="1">
            <w:col w:w="11100"/>
          </w:cols>
          <w:pgMar w:left="320" w:top="456" w:right="479" w:bottom="1440" w:gutter="0" w:footer="0" w:header="0"/>
        </w:sectPr>
      </w:pPr>
    </w:p>
    <w:p>
      <w:pPr>
        <w:spacing w:after="0" w:line="286" w:lineRule="exact"/>
        <w:rPr>
          <w:sz w:val="20"/>
          <w:szCs w:val="20"/>
          <w:color w:val="auto"/>
        </w:rPr>
      </w:pPr>
    </w:p>
    <w:p>
      <w:pPr>
        <w:jc w:val="both"/>
        <w:ind w:left="380"/>
        <w:spacing w:after="0" w:line="281" w:lineRule="auto"/>
        <w:rPr>
          <w:sz w:val="20"/>
          <w:szCs w:val="20"/>
          <w:color w:val="auto"/>
        </w:rPr>
      </w:pPr>
      <w:r>
        <w:rPr>
          <w:rFonts w:ascii="Arial" w:cs="Arial" w:eastAsia="Arial" w:hAnsi="Arial"/>
          <w:sz w:val="21"/>
          <w:szCs w:val="21"/>
          <w:b w:val="1"/>
          <w:bCs w:val="1"/>
          <w:i w:val="1"/>
          <w:iCs w:val="1"/>
          <w:color w:val="auto"/>
        </w:rPr>
        <w:t>A simple majority written consent provision is not in the best interests of shareholders.</w:t>
      </w:r>
    </w:p>
    <w:p>
      <w:pPr>
        <w:spacing w:after="0" w:line="92" w:lineRule="exact"/>
        <w:rPr>
          <w:sz w:val="20"/>
          <w:szCs w:val="20"/>
          <w:color w:val="auto"/>
        </w:rPr>
      </w:pPr>
    </w:p>
    <w:p>
      <w:pPr>
        <w:jc w:val="both"/>
        <w:ind w:left="380"/>
        <w:spacing w:after="0" w:line="237" w:lineRule="auto"/>
        <w:rPr>
          <w:sz w:val="20"/>
          <w:szCs w:val="20"/>
          <w:color w:val="auto"/>
        </w:rPr>
      </w:pPr>
      <w:r>
        <w:rPr>
          <w:rFonts w:ascii="Arial" w:cs="Arial" w:eastAsia="Arial" w:hAnsi="Arial"/>
          <w:sz w:val="19"/>
          <w:szCs w:val="19"/>
          <w:color w:val="auto"/>
        </w:rPr>
        <w:t>Your Board believes that all shareholders – not just a simple majority – should have an opportunity to hear about, and express their views on, important shareholder proposals. Because a written consent need not be distributed to all shareholders entitled to vote on a matter, actions permitted to be taken by the written consent of a simple majority of shareholders could deprive many shareholders of the critical opportunity to assess, discuss, deliberate, and vote on pending actions.</w:t>
      </w:r>
    </w:p>
    <w:p>
      <w:pPr>
        <w:spacing w:after="0" w:line="118" w:lineRule="exact"/>
        <w:rPr>
          <w:sz w:val="20"/>
          <w:szCs w:val="20"/>
          <w:color w:val="auto"/>
        </w:rPr>
      </w:pPr>
    </w:p>
    <w:p>
      <w:pPr>
        <w:jc w:val="both"/>
        <w:ind w:left="380"/>
        <w:spacing w:after="0" w:line="237" w:lineRule="auto"/>
        <w:rPr>
          <w:sz w:val="20"/>
          <w:szCs w:val="20"/>
          <w:color w:val="auto"/>
        </w:rPr>
      </w:pPr>
      <w:r>
        <w:rPr>
          <w:rFonts w:ascii="Arial" w:cs="Arial" w:eastAsia="Arial" w:hAnsi="Arial"/>
          <w:sz w:val="19"/>
          <w:szCs w:val="19"/>
          <w:color w:val="auto"/>
        </w:rPr>
        <w:t>Further, a simple majority written consent provision caters particularly to shareholders with special and short-term interests. The proposal would permit these shareholders to bypass our existing procedural protections and marginalize smaller shareholders. Multiple shareholder groups could solicit written consents simultaneously, some of which may be duplicative or contradictory. In addition, the Board would not have the opportunity to consider the merits of the proposed action and provide its recommendation for shareholder consideration.</w:t>
      </w:r>
    </w:p>
    <w:p>
      <w:pPr>
        <w:spacing w:after="0" w:line="101" w:lineRule="exact"/>
        <w:rPr>
          <w:sz w:val="20"/>
          <w:szCs w:val="20"/>
          <w:color w:val="auto"/>
        </w:rPr>
      </w:pPr>
    </w:p>
    <w:p>
      <w:pPr>
        <w:jc w:val="both"/>
        <w:ind w:left="380"/>
        <w:spacing w:after="0" w:line="260" w:lineRule="auto"/>
        <w:rPr>
          <w:sz w:val="20"/>
          <w:szCs w:val="20"/>
          <w:color w:val="auto"/>
        </w:rPr>
      </w:pPr>
      <w:r>
        <w:rPr>
          <w:rFonts w:ascii="Arial" w:cs="Arial" w:eastAsia="Arial" w:hAnsi="Arial"/>
          <w:sz w:val="21"/>
          <w:szCs w:val="21"/>
          <w:b w:val="1"/>
          <w:bCs w:val="1"/>
          <w:i w:val="1"/>
          <w:iCs w:val="1"/>
          <w:color w:val="auto"/>
        </w:rPr>
        <w:t>GM’s shareholders already have the ability to advance concerns outside of the annual meeting process through special meetings.</w:t>
      </w:r>
    </w:p>
    <w:p>
      <w:pPr>
        <w:spacing w:after="0" w:line="113" w:lineRule="exact"/>
        <w:rPr>
          <w:sz w:val="20"/>
          <w:szCs w:val="20"/>
          <w:color w:val="auto"/>
        </w:rPr>
      </w:pPr>
    </w:p>
    <w:p>
      <w:pPr>
        <w:jc w:val="both"/>
        <w:ind w:left="380"/>
        <w:spacing w:after="0" w:line="226" w:lineRule="auto"/>
        <w:rPr>
          <w:sz w:val="20"/>
          <w:szCs w:val="20"/>
          <w:color w:val="auto"/>
        </w:rPr>
      </w:pPr>
      <w:r>
        <w:rPr>
          <w:rFonts w:ascii="Arial" w:cs="Arial" w:eastAsia="Arial" w:hAnsi="Arial"/>
          <w:sz w:val="20"/>
          <w:szCs w:val="20"/>
          <w:color w:val="auto"/>
        </w:rPr>
        <w:t>Shareholders that are able to demonstrate a relatively modest level of support (25% of shares that would be entitled to vote on a matter) for their concerns can call for a special meeting of shareholders. Your Board believes that this mechanism is preferable to a simple majority written consent provision because it is fairer and more transparent to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356235</wp:posOffset>
            </wp:positionV>
            <wp:extent cx="6793865" cy="1016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both"/>
        <w:ind w:right="220"/>
        <w:spacing w:after="0" w:line="260" w:lineRule="auto"/>
        <w:rPr>
          <w:sz w:val="20"/>
          <w:szCs w:val="20"/>
          <w:color w:val="auto"/>
        </w:rPr>
      </w:pPr>
      <w:r>
        <w:rPr>
          <w:rFonts w:ascii="Arial" w:cs="Arial" w:eastAsia="Arial" w:hAnsi="Arial"/>
          <w:sz w:val="21"/>
          <w:szCs w:val="21"/>
          <w:b w:val="1"/>
          <w:bCs w:val="1"/>
          <w:i w:val="1"/>
          <w:iCs w:val="1"/>
          <w:color w:val="auto"/>
        </w:rPr>
        <w:t>GM’s commitment to shareholder engagement and governance best practices provides a meaningful voice for shareholders.</w:t>
      </w:r>
    </w:p>
    <w:p>
      <w:pPr>
        <w:spacing w:after="0" w:line="100" w:lineRule="exact"/>
        <w:rPr>
          <w:sz w:val="20"/>
          <w:szCs w:val="20"/>
          <w:color w:val="auto"/>
        </w:rPr>
      </w:pPr>
    </w:p>
    <w:p>
      <w:pPr>
        <w:jc w:val="both"/>
        <w:ind w:right="220"/>
        <w:spacing w:after="0" w:line="227" w:lineRule="auto"/>
        <w:rPr>
          <w:sz w:val="20"/>
          <w:szCs w:val="20"/>
          <w:color w:val="auto"/>
        </w:rPr>
      </w:pPr>
      <w:r>
        <w:rPr>
          <w:rFonts w:ascii="Arial" w:cs="Arial" w:eastAsia="Arial" w:hAnsi="Arial"/>
          <w:sz w:val="20"/>
          <w:szCs w:val="20"/>
          <w:color w:val="auto"/>
        </w:rPr>
        <w:t>The Board has adopted a variety of practices and policies that enhance Board accountability to shareholders, including the annual election of directors, proxy access rights, an active shareholder engagement program, and maintaining an established channel for shareholder communication with the Board.</w:t>
      </w:r>
    </w:p>
    <w:p>
      <w:pPr>
        <w:spacing w:after="0" w:line="97" w:lineRule="exact"/>
        <w:rPr>
          <w:sz w:val="20"/>
          <w:szCs w:val="20"/>
          <w:color w:val="auto"/>
        </w:rPr>
      </w:pPr>
    </w:p>
    <w:p>
      <w:pPr>
        <w:jc w:val="both"/>
        <w:ind w:right="220"/>
        <w:spacing w:after="0" w:line="253" w:lineRule="auto"/>
        <w:rPr>
          <w:sz w:val="20"/>
          <w:szCs w:val="20"/>
          <w:color w:val="auto"/>
        </w:rPr>
      </w:pPr>
      <w:r>
        <w:rPr>
          <w:rFonts w:ascii="Arial" w:cs="Arial" w:eastAsia="Arial" w:hAnsi="Arial"/>
          <w:sz w:val="21"/>
          <w:szCs w:val="21"/>
          <w:b w:val="1"/>
          <w:bCs w:val="1"/>
          <w:i w:val="1"/>
          <w:iCs w:val="1"/>
          <w:color w:val="auto"/>
        </w:rPr>
        <w:t>GM’s 2019 Virtual Annual Meeting of Shareholders enhanced shareholder participation while maintaining transparency and access to your Board.</w:t>
      </w:r>
    </w:p>
    <w:p>
      <w:pPr>
        <w:spacing w:after="0" w:line="121" w:lineRule="exact"/>
        <w:rPr>
          <w:sz w:val="20"/>
          <w:szCs w:val="20"/>
          <w:color w:val="auto"/>
        </w:rPr>
      </w:pPr>
    </w:p>
    <w:p>
      <w:pPr>
        <w:jc w:val="both"/>
        <w:ind w:right="220"/>
        <w:spacing w:after="0" w:line="236" w:lineRule="auto"/>
        <w:rPr>
          <w:sz w:val="20"/>
          <w:szCs w:val="20"/>
          <w:color w:val="auto"/>
        </w:rPr>
      </w:pPr>
      <w:r>
        <w:rPr>
          <w:rFonts w:ascii="Arial" w:cs="Arial" w:eastAsia="Arial" w:hAnsi="Arial"/>
          <w:sz w:val="19"/>
          <w:szCs w:val="19"/>
          <w:color w:val="auto"/>
        </w:rPr>
        <w:t xml:space="preserve">The proponent argues that the proposal is particularly important due to GM’s transition to a virtual annual meeting in 2019 – suggesting shareholders no longer have an opportunity to hold your Board and management accountable. In fact, the virtual meeting format resulted in attendance increasing to approximately 125 from an average of fewer than 35 over the last five years. In addition, GM’s 2019 virtual annual meeting featured a live video stream of the meeting and an opportunity for shareholders to ask live questions during the meeting (via telephone and in writing), resulting in a better and more productive experience for our shareholders. A replay of our 2019 Annual Meeting of Shareholders and a summary of all the shareholder questions we received (as well as GM’s responses) are available at </w:t>
      </w:r>
      <w:r>
        <w:rPr>
          <w:rFonts w:ascii="Arial" w:cs="Arial" w:eastAsia="Arial" w:hAnsi="Arial"/>
          <w:sz w:val="19"/>
          <w:szCs w:val="19"/>
          <w:i w:val="1"/>
          <w:iCs w:val="1"/>
          <w:color w:val="00A1DF"/>
        </w:rPr>
        <w:t>investor.gm.com/ shareholder</w:t>
      </w:r>
      <w:r>
        <w:rPr>
          <w:rFonts w:ascii="Arial" w:cs="Arial" w:eastAsia="Arial" w:hAnsi="Arial"/>
          <w:sz w:val="19"/>
          <w:szCs w:val="19"/>
          <w:color w:val="auto"/>
        </w:rPr>
        <w:t>.</w:t>
      </w:r>
    </w:p>
    <w:p>
      <w:pPr>
        <w:spacing w:after="0" w:line="793"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365"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91</w:t>
      </w:r>
    </w:p>
    <w:p>
      <w:pPr>
        <w:sectPr>
          <w:pgSz w:w="11900" w:h="16838" w:orient="portrait"/>
          <w:cols w:equalWidth="0" w:num="1">
            <w:col w:w="11100"/>
          </w:cols>
          <w:pgMar w:left="320" w:top="456" w:right="4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620" w:right="20" w:hanging="2460"/>
        <w:spacing w:after="0" w:line="261" w:lineRule="auto"/>
        <w:rPr>
          <w:sz w:val="20"/>
          <w:szCs w:val="20"/>
          <w:color w:val="auto"/>
        </w:rPr>
      </w:pPr>
      <w:r>
        <w:rPr>
          <w:rFonts w:ascii="Arial" w:cs="Arial" w:eastAsia="Arial" w:hAnsi="Arial"/>
          <w:sz w:val="37"/>
          <w:szCs w:val="37"/>
          <w:b w:val="1"/>
          <w:bCs w:val="1"/>
          <w:color w:val="00A1DF"/>
        </w:rPr>
        <w:t xml:space="preserve">ITEM NO. 7 </w:t>
      </w:r>
      <w:r>
        <w:rPr>
          <w:rFonts w:ascii="Arial" w:cs="Arial" w:eastAsia="Arial" w:hAnsi="Arial"/>
          <w:sz w:val="37"/>
          <w:szCs w:val="37"/>
          <w:color w:val="0033A0"/>
        </w:rPr>
        <w:t>– SHAREHOLDER PROPOSAL REGARDING</w:t>
      </w:r>
      <w:r>
        <w:rPr>
          <w:rFonts w:ascii="Arial" w:cs="Arial" w:eastAsia="Arial" w:hAnsi="Arial"/>
          <w:sz w:val="37"/>
          <w:szCs w:val="37"/>
          <w:b w:val="1"/>
          <w:bCs w:val="1"/>
          <w:color w:val="00A1DF"/>
        </w:rPr>
        <w:t xml:space="preserve"> </w:t>
      </w:r>
      <w:r>
        <w:rPr>
          <w:rFonts w:ascii="Arial" w:cs="Arial" w:eastAsia="Arial" w:hAnsi="Arial"/>
          <w:sz w:val="37"/>
          <w:szCs w:val="37"/>
          <w:color w:val="0033A0"/>
        </w:rPr>
        <w:t>PROXY ACCESS AMENDMENT: SHAREHOLDER AGGREGATION LIMIT</w:t>
      </w:r>
    </w:p>
    <w:p>
      <w:pPr>
        <w:sectPr>
          <w:pgSz w:w="11900" w:h="16838" w:orient="portrait"/>
          <w:cols w:equalWidth="0" w:num="1">
            <w:col w:w="11080"/>
          </w:cols>
          <w:pgMar w:left="320" w:top="456" w:right="499" w:bottom="1440" w:gutter="0" w:footer="0" w:header="0"/>
        </w:sectPr>
      </w:pPr>
    </w:p>
    <w:p>
      <w:pPr>
        <w:spacing w:after="0" w:line="217"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i w:val="1"/>
          <w:iCs w:val="1"/>
          <w:color w:val="auto"/>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1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Shareholders request that our board of directors take the steps necessary to enable as many shareholders as may be needed to aggregate their shares to equal 3% of our stock owned continuously for 3-years in order to enable shareholder proxy access.</w:t>
      </w:r>
    </w:p>
    <w:p>
      <w:pPr>
        <w:spacing w:after="0" w:line="129"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Currently proxy access at General Motors is limited to 20 shareholders who must together own 1.6 billion of GM stock continuously for 3-years at a time when many shares are held for less than one-year. “Continuously for 3-years” of stock ownership will exclude the vast majority of GM stockholders.</w:t>
      </w:r>
    </w:p>
    <w:p>
      <w:pPr>
        <w:spacing w:after="0" w:line="113" w:lineRule="exact"/>
        <w:rPr>
          <w:sz w:val="20"/>
          <w:szCs w:val="20"/>
          <w:color w:val="auto"/>
        </w:rPr>
      </w:pPr>
    </w:p>
    <w:p>
      <w:pPr>
        <w:jc w:val="both"/>
        <w:ind w:left="160"/>
        <w:spacing w:after="0" w:line="225" w:lineRule="auto"/>
        <w:rPr>
          <w:sz w:val="20"/>
          <w:szCs w:val="20"/>
          <w:color w:val="auto"/>
        </w:rPr>
      </w:pPr>
      <w:r>
        <w:rPr>
          <w:rFonts w:ascii="Arial" w:cs="Arial" w:eastAsia="Arial" w:hAnsi="Arial"/>
          <w:sz w:val="20"/>
          <w:szCs w:val="20"/>
          <w:color w:val="auto"/>
        </w:rPr>
        <w:t>Under this proposal it is likely that the number shareholders who participate in the aggregation process would still be a modest number due to the administrative burden on shareholders to qualify as one of the aggregation participants. Plus it is easy for management to reject potential aggregating shareholders because the administrative burden on shareholders leads to a number of potential technical errors by shareholders that management can then nitpick and thus reject.</w:t>
      </w:r>
    </w:p>
    <w:p>
      <w:pPr>
        <w:spacing w:after="0" w:line="133"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Shareholders should be able to select the ownership structure of a group that requests proxy access. Shareholders are in the best position to know whether it will be more practical to have a few big shareholders or a greater number smaller of shareholders and should not be saddled with inflexible rules.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directors of many companies are in favor of “one sizes does not fit all” in their proxies and this principle should apply here to shareholders. Indeed the GM directors should support this proposal to be consistent with GM citing the importance of “flexibility” 10-times in the 2019 GM proxy.</w:t>
      </w:r>
    </w:p>
    <w:p>
      <w:pPr>
        <w:spacing w:after="0" w:line="12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proposal can help ensure that our management will nominate directors with outstanding qualifications in order to avoid giving shareholders a reason to exercise their right to use proxy access.</w:t>
      </w:r>
    </w:p>
    <w:p>
      <w:pPr>
        <w:spacing w:after="0" w:line="1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is important because there does not seem to be any GM director with automotive marketing experience. On the other hand GM has a director with 20-years CIA experience but GM provides no CIA job title for this director. This leads to the question of whether there is any adequate marketing oversight of GM management.</w:t>
      </w:r>
    </w:p>
    <w:p>
      <w:pPr>
        <w:spacing w:after="0" w:line="11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There are 2 directors linked to Northrop Grumman. Another director is linked to Lockheed Martin. The past failed combination of GM and Hughes Aircraft showed that there was little synergy between automotive and aerospace. Another director is a former dean who has been retired for 7-years.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Please vote yes: Improve Shareholder Proxy Access – Proposal 7</w:t>
      </w:r>
    </w:p>
    <w:p>
      <w:pPr>
        <w:spacing w:after="0" w:line="211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6"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92 </w:t>
      </w:r>
      <w:r>
        <w:rPr>
          <w:sz w:val="1"/>
          <w:szCs w:val="1"/>
          <w:color w:val="auto"/>
        </w:rPr>
        <w:drawing>
          <wp:inline distT="0" distB="0" distL="0" distR="0">
            <wp:extent cx="6793865" cy="10160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A1DF"/>
        </w:rPr>
        <w:t xml:space="preserve">ITEM NO. 7 </w:t>
      </w:r>
      <w:r>
        <w:rPr>
          <w:rFonts w:ascii="Arial" w:cs="Arial" w:eastAsia="Arial" w:hAnsi="Arial"/>
          <w:sz w:val="14"/>
          <w:szCs w:val="14"/>
          <w:b w:val="1"/>
          <w:bCs w:val="1"/>
          <w:color w:val="0033A0"/>
        </w:rPr>
        <w:t>– SHAREHOLDER PROPOSAL REGARDING PROXY ACCESS AMENDMENT: SHAREHOLDER AGGREGATION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7014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29755" cy="7014845"/>
                    </a:xfrm>
                    <a:prstGeom prst="rect">
                      <a:avLst/>
                    </a:prstGeom>
                    <a:noFill/>
                  </pic:spPr>
                </pic:pic>
              </a:graphicData>
            </a:graphic>
          </wp:anchor>
        </w:drawing>
      </w:r>
    </w:p>
    <w:p>
      <w:pPr>
        <w:spacing w:after="0" w:line="339" w:lineRule="exact"/>
        <w:rPr>
          <w:sz w:val="20"/>
          <w:szCs w:val="20"/>
          <w:color w:val="auto"/>
        </w:rPr>
      </w:pPr>
    </w:p>
    <w:p>
      <w:pPr>
        <w:ind w:left="420" w:right="620"/>
        <w:spacing w:after="0" w:line="281" w:lineRule="auto"/>
        <w:rPr>
          <w:sz w:val="20"/>
          <w:szCs w:val="20"/>
          <w:color w:val="auto"/>
        </w:rPr>
      </w:pPr>
      <w:r>
        <w:rPr>
          <w:rFonts w:ascii="Arial" w:cs="Arial" w:eastAsia="Arial" w:hAnsi="Arial"/>
          <w:sz w:val="25"/>
          <w:szCs w:val="25"/>
          <w:b w:val="1"/>
          <w:bCs w:val="1"/>
          <w:color w:val="0033A0"/>
        </w:rPr>
        <w:t xml:space="preserve">Your Board of Directors recommends a vote </w:t>
      </w:r>
      <w:r>
        <w:rPr>
          <w:rFonts w:ascii="Arial" w:cs="Arial" w:eastAsia="Arial" w:hAnsi="Arial"/>
          <w:sz w:val="25"/>
          <w:szCs w:val="25"/>
          <w:b w:val="1"/>
          <w:bCs w:val="1"/>
          <w:u w:val="single" w:color="auto"/>
          <w:color w:val="00A1DF"/>
        </w:rPr>
        <w:t>AGAINST</w:t>
      </w:r>
      <w:r>
        <w:rPr>
          <w:rFonts w:ascii="Arial" w:cs="Arial" w:eastAsia="Arial" w:hAnsi="Arial"/>
          <w:sz w:val="25"/>
          <w:szCs w:val="25"/>
          <w:b w:val="1"/>
          <w:bCs w:val="1"/>
          <w:color w:val="0033A0"/>
        </w:rPr>
        <w:t xml:space="preserve"> this proposal for the following reasons:</w:t>
      </w:r>
    </w:p>
    <w:p>
      <w:pPr>
        <w:sectPr>
          <w:pgSz w:w="11900" w:h="16838" w:orient="portrait"/>
          <w:cols w:equalWidth="0" w:num="1">
            <w:col w:w="11100"/>
          </w:cols>
          <w:pgMar w:left="320" w:top="456" w:right="479" w:bottom="1440" w:gutter="0" w:footer="0" w:header="0"/>
        </w:sectPr>
      </w:pPr>
    </w:p>
    <w:p>
      <w:pPr>
        <w:spacing w:after="0" w:line="286" w:lineRule="exact"/>
        <w:rPr>
          <w:sz w:val="20"/>
          <w:szCs w:val="20"/>
          <w:color w:val="auto"/>
        </w:rPr>
      </w:pPr>
    </w:p>
    <w:p>
      <w:pPr>
        <w:jc w:val="both"/>
        <w:ind w:left="380"/>
        <w:spacing w:after="0" w:line="260" w:lineRule="auto"/>
        <w:rPr>
          <w:sz w:val="20"/>
          <w:szCs w:val="20"/>
          <w:color w:val="auto"/>
        </w:rPr>
      </w:pPr>
      <w:r>
        <w:rPr>
          <w:rFonts w:ascii="Arial" w:cs="Arial" w:eastAsia="Arial" w:hAnsi="Arial"/>
          <w:sz w:val="21"/>
          <w:szCs w:val="21"/>
          <w:b w:val="1"/>
          <w:bCs w:val="1"/>
          <w:i w:val="1"/>
          <w:iCs w:val="1"/>
          <w:color w:val="auto"/>
        </w:rPr>
        <w:t>GM’s proxy access bylaw provides a meaningful and appropriate mechanism for shareholders to nominate individuals for your Board.</w:t>
      </w:r>
    </w:p>
    <w:p>
      <w:pPr>
        <w:spacing w:after="0" w:line="113" w:lineRule="exact"/>
        <w:rPr>
          <w:sz w:val="20"/>
          <w:szCs w:val="20"/>
          <w:color w:val="auto"/>
        </w:rPr>
      </w:pPr>
    </w:p>
    <w:p>
      <w:pPr>
        <w:jc w:val="both"/>
        <w:ind w:left="380"/>
        <w:spacing w:after="0" w:line="225" w:lineRule="auto"/>
        <w:rPr>
          <w:sz w:val="20"/>
          <w:szCs w:val="20"/>
          <w:color w:val="auto"/>
        </w:rPr>
      </w:pPr>
      <w:r>
        <w:rPr>
          <w:rFonts w:ascii="Arial" w:cs="Arial" w:eastAsia="Arial" w:hAnsi="Arial"/>
          <w:sz w:val="20"/>
          <w:szCs w:val="20"/>
          <w:color w:val="auto"/>
        </w:rPr>
        <w:t>GM’s proxy access bylaw was adopted in March 2016 following considerable discussion and consideration by your Board and engagement with many of GM’s largest shareholders. It allows an eligible shareholder (or group of up to 20 eligible shareholders), owning at least 3% of GM’s outstanding voting shares continuously for at least three years, to nominate and include in GM’s proxy materials director nominees constituting up to the greater of two individuals or 20% of the Board, provided that the shareholder(s) and the nominee(s) satisfy the requirements specified in our bylaws.</w:t>
      </w:r>
    </w:p>
    <w:p>
      <w:pPr>
        <w:spacing w:after="0" w:line="87" w:lineRule="exact"/>
        <w:rPr>
          <w:sz w:val="20"/>
          <w:szCs w:val="20"/>
          <w:color w:val="auto"/>
        </w:rPr>
      </w:pPr>
    </w:p>
    <w:p>
      <w:pPr>
        <w:jc w:val="both"/>
        <w:ind w:left="380"/>
        <w:spacing w:after="0" w:line="260" w:lineRule="auto"/>
        <w:rPr>
          <w:sz w:val="20"/>
          <w:szCs w:val="20"/>
          <w:color w:val="auto"/>
        </w:rPr>
      </w:pPr>
      <w:r>
        <w:rPr>
          <w:rFonts w:ascii="Arial" w:cs="Arial" w:eastAsia="Arial" w:hAnsi="Arial"/>
          <w:sz w:val="21"/>
          <w:szCs w:val="21"/>
          <w:b w:val="1"/>
          <w:bCs w:val="1"/>
          <w:i w:val="1"/>
          <w:iCs w:val="1"/>
          <w:color w:val="auto"/>
        </w:rPr>
        <w:t>GM’s 20-shareholder aggregation limit is critical to appropriately balance the benefits and risks to shareholders of proxy access.</w:t>
      </w:r>
    </w:p>
    <w:p>
      <w:pPr>
        <w:spacing w:after="0" w:line="113" w:lineRule="exact"/>
        <w:rPr>
          <w:sz w:val="20"/>
          <w:szCs w:val="20"/>
          <w:color w:val="auto"/>
        </w:rPr>
      </w:pPr>
    </w:p>
    <w:p>
      <w:pPr>
        <w:jc w:val="both"/>
        <w:ind w:left="380"/>
        <w:spacing w:after="0" w:line="224" w:lineRule="auto"/>
        <w:rPr>
          <w:sz w:val="20"/>
          <w:szCs w:val="20"/>
          <w:color w:val="auto"/>
        </w:rPr>
      </w:pPr>
      <w:r>
        <w:rPr>
          <w:rFonts w:ascii="Arial" w:cs="Arial" w:eastAsia="Arial" w:hAnsi="Arial"/>
          <w:sz w:val="20"/>
          <w:szCs w:val="20"/>
          <w:color w:val="auto"/>
        </w:rPr>
        <w:t>When a shareholder group submits a nominee under our proxy access bylaw, GM must confirm that the eligibility and procedural requirements have been satisfied (and remain satisfied through the annual meeting date) by each member of the group. The 20-shareholder aggregation limit ensures that GM is not forced to make burdensome and time-consuming inquiries into the nature and duration of the share ownership of a large number of individuals. This administrative burden could distract our employees and cause GM to incur excessive costs. Further, this reasonable limit on the number of shareholders permitted to act as a group helps to ensure that the interests of the group are aligned with the interests of our long-term shareholders generally by ensuring that the members of the group have a meaningful financial interest in our Company.</w:t>
      </w:r>
    </w:p>
    <w:p>
      <w:pPr>
        <w:spacing w:after="0" w:line="108" w:lineRule="exact"/>
        <w:rPr>
          <w:sz w:val="20"/>
          <w:szCs w:val="20"/>
          <w:color w:val="auto"/>
        </w:rPr>
      </w:pPr>
    </w:p>
    <w:p>
      <w:pPr>
        <w:jc w:val="both"/>
        <w:ind w:left="380"/>
        <w:spacing w:after="0" w:line="281" w:lineRule="auto"/>
        <w:rPr>
          <w:sz w:val="20"/>
          <w:szCs w:val="20"/>
          <w:color w:val="auto"/>
        </w:rPr>
      </w:pPr>
      <w:r>
        <w:rPr>
          <w:rFonts w:ascii="Arial" w:cs="Arial" w:eastAsia="Arial" w:hAnsi="Arial"/>
          <w:sz w:val="21"/>
          <w:szCs w:val="21"/>
          <w:b w:val="1"/>
          <w:bCs w:val="1"/>
          <w:i w:val="1"/>
          <w:iCs w:val="1"/>
          <w:color w:val="auto"/>
        </w:rPr>
        <w:t>GM’s proxy access bylaw is consistent with current market standards and best practices.</w:t>
      </w:r>
    </w:p>
    <w:p>
      <w:pPr>
        <w:spacing w:after="0" w:line="79" w:lineRule="exact"/>
        <w:rPr>
          <w:sz w:val="20"/>
          <w:szCs w:val="20"/>
          <w:color w:val="auto"/>
        </w:rPr>
      </w:pPr>
    </w:p>
    <w:p>
      <w:pPr>
        <w:jc w:val="both"/>
        <w:ind w:left="380"/>
        <w:spacing w:after="0" w:line="228" w:lineRule="auto"/>
        <w:rPr>
          <w:sz w:val="20"/>
          <w:szCs w:val="20"/>
          <w:color w:val="auto"/>
        </w:rPr>
      </w:pPr>
      <w:r>
        <w:rPr>
          <w:rFonts w:ascii="Arial" w:cs="Arial" w:eastAsia="Arial" w:hAnsi="Arial"/>
          <w:sz w:val="20"/>
          <w:szCs w:val="20"/>
          <w:color w:val="auto"/>
        </w:rPr>
        <w:t>A 20-shareholder aggregation limit has been widely adopted by companies that have adopted proxy access, including Citigroup Inc., The Boeing Company, and Lockheed Martin Corporation,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364490</wp:posOffset>
            </wp:positionV>
            <wp:extent cx="6793865" cy="1016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right="220"/>
        <w:spacing w:after="0" w:line="227" w:lineRule="auto"/>
        <w:rPr>
          <w:sz w:val="20"/>
          <w:szCs w:val="20"/>
          <w:color w:val="auto"/>
        </w:rPr>
      </w:pPr>
      <w:r>
        <w:rPr>
          <w:rFonts w:ascii="Arial" w:cs="Arial" w:eastAsia="Arial" w:hAnsi="Arial"/>
          <w:sz w:val="20"/>
          <w:szCs w:val="20"/>
          <w:color w:val="auto"/>
        </w:rPr>
        <w:t>widely endorsed among institutional investors. According to Shearman &amp; Sterling’s 2019 Corporate Governance &amp; Executive Compensation Survey, approximately 92% of public companies that have adopted or modified proxy access have a 20-shareholder aggregation limit.</w:t>
      </w:r>
    </w:p>
    <w:p>
      <w:pPr>
        <w:spacing w:after="0" w:line="101" w:lineRule="exact"/>
        <w:rPr>
          <w:sz w:val="20"/>
          <w:szCs w:val="20"/>
          <w:color w:val="auto"/>
        </w:rPr>
      </w:pPr>
    </w:p>
    <w:p>
      <w:pPr>
        <w:jc w:val="both"/>
        <w:ind w:right="220"/>
        <w:spacing w:after="0" w:line="254" w:lineRule="auto"/>
        <w:rPr>
          <w:sz w:val="20"/>
          <w:szCs w:val="20"/>
          <w:color w:val="auto"/>
        </w:rPr>
      </w:pPr>
      <w:r>
        <w:rPr>
          <w:rFonts w:ascii="Arial" w:cs="Arial" w:eastAsia="Arial" w:hAnsi="Arial"/>
          <w:sz w:val="21"/>
          <w:szCs w:val="21"/>
          <w:b w:val="1"/>
          <w:bCs w:val="1"/>
          <w:i w:val="1"/>
          <w:iCs w:val="1"/>
          <w:color w:val="auto"/>
        </w:rPr>
        <w:t>The shareholder’s proposal would not significantly enhance proxy access at GM because the current aggregation limit is not prohibitive.</w:t>
      </w:r>
    </w:p>
    <w:p>
      <w:pPr>
        <w:spacing w:after="0" w:line="359" w:lineRule="exact"/>
        <w:rPr>
          <w:sz w:val="20"/>
          <w:szCs w:val="20"/>
          <w:color w:val="auto"/>
        </w:rPr>
      </w:pPr>
    </w:p>
    <w:p>
      <w:pPr>
        <w:jc w:val="both"/>
        <w:ind w:right="220"/>
        <w:spacing w:after="0" w:line="225" w:lineRule="auto"/>
        <w:rPr>
          <w:sz w:val="20"/>
          <w:szCs w:val="20"/>
          <w:color w:val="auto"/>
        </w:rPr>
      </w:pPr>
      <w:r>
        <w:rPr>
          <w:rFonts w:ascii="Arial" w:cs="Arial" w:eastAsia="Arial" w:hAnsi="Arial"/>
          <w:sz w:val="20"/>
          <w:szCs w:val="20"/>
          <w:color w:val="auto"/>
        </w:rPr>
        <w:t>GM’s 30 largest institutional shareholders hold approximately 59% of our outstanding shares, including 7 who individually own more than 3% and approximately 80 who owned more than 0.15% (which is the average ownership needed for 20 shareholders to aggregate to 3%). Accordingly, the 20-shareholder aggregation limit does not unduly restrict any shareholder from forming a group to submit a proxy access nomination, and provides ample opportunities for all shareholders to combine with other shareholders to reach the 3% threshold. In fact, any shareholder, regardless of the size of its holdings, could achieve the 3% minimum by combining with as little as just one other shareholder.</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GM has the right Board at the right time.</w:t>
      </w:r>
    </w:p>
    <w:p>
      <w:pPr>
        <w:spacing w:after="0" w:line="175" w:lineRule="exact"/>
        <w:rPr>
          <w:sz w:val="20"/>
          <w:szCs w:val="20"/>
          <w:color w:val="auto"/>
        </w:rPr>
      </w:pPr>
    </w:p>
    <w:p>
      <w:pPr>
        <w:jc w:val="both"/>
        <w:ind w:right="220"/>
        <w:spacing w:after="0" w:line="225" w:lineRule="auto"/>
        <w:rPr>
          <w:sz w:val="20"/>
          <w:szCs w:val="20"/>
          <w:color w:val="auto"/>
        </w:rPr>
      </w:pPr>
      <w:r>
        <w:rPr>
          <w:rFonts w:ascii="Arial" w:cs="Arial" w:eastAsia="Arial" w:hAnsi="Arial"/>
          <w:sz w:val="20"/>
          <w:szCs w:val="20"/>
          <w:color w:val="auto"/>
        </w:rPr>
        <w:t>GM has added three new directors in the last two years – bolstering your Board’s expertise by adding accomplished leaders with critical technology, manufacturing, and geopolitical risk management experience. Your Board has the right directors to ensure the Company wins in this period of industry transformation. Your Board is also committed to regular director refreshment and succession planning to ensure it remains a strategic asset for the Company. This proposal is not necessary to ensure your Board possesses the appropriate mix of skills, expertise, and diverse viewpoints.</w:t>
      </w:r>
    </w:p>
    <w:p>
      <w:pPr>
        <w:spacing w:after="0" w:line="1484"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379"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93</w:t>
      </w:r>
    </w:p>
    <w:p>
      <w:pPr>
        <w:sectPr>
          <w:pgSz w:w="11900" w:h="16838" w:orient="portrait"/>
          <w:cols w:equalWidth="0" w:num="1">
            <w:col w:w="11100"/>
          </w:cols>
          <w:pgMar w:left="320" w:top="456" w:right="47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780" w:right="900" w:hanging="2620"/>
        <w:spacing w:after="0" w:line="248" w:lineRule="auto"/>
        <w:tabs>
          <w:tab w:leader="none" w:pos="2760" w:val="left"/>
        </w:tabs>
        <w:rPr>
          <w:sz w:val="20"/>
          <w:szCs w:val="20"/>
          <w:color w:val="auto"/>
        </w:rPr>
      </w:pPr>
      <w:r>
        <w:rPr>
          <w:rFonts w:ascii="Arial" w:cs="Arial" w:eastAsia="Arial" w:hAnsi="Arial"/>
          <w:sz w:val="37"/>
          <w:szCs w:val="37"/>
          <w:b w:val="1"/>
          <w:bCs w:val="1"/>
          <w:color w:val="00A1DF"/>
        </w:rPr>
        <w:t xml:space="preserve">ITEM NO. 8 </w:t>
      </w:r>
      <w:r>
        <w:rPr>
          <w:rFonts w:ascii="Arial" w:cs="Arial" w:eastAsia="Arial" w:hAnsi="Arial"/>
          <w:sz w:val="37"/>
          <w:szCs w:val="37"/>
          <w:color w:val="0033A0"/>
        </w:rPr>
        <w:t>–</w:t>
      </w:r>
      <w:r>
        <w:rPr>
          <w:sz w:val="20"/>
          <w:szCs w:val="20"/>
          <w:color w:val="auto"/>
        </w:rPr>
        <w:tab/>
      </w:r>
      <w:r>
        <w:rPr>
          <w:rFonts w:ascii="Arial" w:cs="Arial" w:eastAsia="Arial" w:hAnsi="Arial"/>
          <w:sz w:val="37"/>
          <w:szCs w:val="37"/>
          <w:color w:val="0033A0"/>
        </w:rPr>
        <w:t>SHAREHOLDER PROPOSAL REGARDING REPORT ON HUMAN RIGHTS POLICY IMPLEMENTATION</w:t>
      </w:r>
    </w:p>
    <w:p>
      <w:pPr>
        <w:sectPr>
          <w:pgSz w:w="11900" w:h="16838" w:orient="portrait"/>
          <w:cols w:equalWidth="0" w:num="1">
            <w:col w:w="11080"/>
          </w:cols>
          <w:pgMar w:left="320" w:top="456" w:right="499" w:bottom="1440" w:gutter="0" w:footer="0" w:header="0"/>
        </w:sectPr>
      </w:pPr>
    </w:p>
    <w:p>
      <w:pPr>
        <w:spacing w:after="0" w:line="28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i w:val="1"/>
          <w:iCs w:val="1"/>
          <w:color w:val="auto"/>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105" w:lineRule="exact"/>
        <w:rPr>
          <w:sz w:val="20"/>
          <w:szCs w:val="20"/>
          <w:color w:val="auto"/>
        </w:rPr>
      </w:pPr>
    </w:p>
    <w:p>
      <w:pPr>
        <w:jc w:val="both"/>
        <w:ind w:left="160"/>
        <w:spacing w:after="0" w:line="23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According to the UN Guiding Principles on</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and Human Rights (UNGPs), companies have a responsibility to respect human rights throughout their operations and value chains by conducting due diligence to assess, identify, prevent, mitigate, and remediate adverse human rights impacts.</w:t>
      </w:r>
    </w:p>
    <w:p>
      <w:pPr>
        <w:spacing w:after="0" w:line="127" w:lineRule="exact"/>
        <w:rPr>
          <w:sz w:val="20"/>
          <w:szCs w:val="20"/>
          <w:color w:val="auto"/>
        </w:rPr>
      </w:pPr>
    </w:p>
    <w:p>
      <w:pPr>
        <w:jc w:val="both"/>
        <w:ind w:left="160"/>
        <w:spacing w:after="0" w:line="226" w:lineRule="auto"/>
        <w:rPr>
          <w:sz w:val="20"/>
          <w:szCs w:val="20"/>
          <w:color w:val="auto"/>
        </w:rPr>
      </w:pPr>
      <w:r>
        <w:rPr>
          <w:rFonts w:ascii="Arial" w:cs="Arial" w:eastAsia="Arial" w:hAnsi="Arial"/>
          <w:sz w:val="20"/>
          <w:szCs w:val="20"/>
          <w:color w:val="auto"/>
        </w:rPr>
        <w:t>As the largest automaker in the United States, General Motors Company (GM) “produces more than 10 million vehicles a year, sources more than 100,000 unique parts from 5,500 supplier sites worldwide, and sells its cars in more than 100 countries.”</w:t>
      </w:r>
      <w:r>
        <w:rPr>
          <w:rFonts w:ascii="Arial" w:cs="Arial" w:eastAsia="Arial" w:hAnsi="Arial"/>
          <w:sz w:val="16"/>
          <w:szCs w:val="16"/>
          <w:color w:val="auto"/>
        </w:rPr>
        <w:t>1</w:t>
      </w:r>
      <w:r>
        <w:rPr>
          <w:rFonts w:ascii="Arial" w:cs="Arial" w:eastAsia="Arial" w:hAnsi="Arial"/>
          <w:sz w:val="20"/>
          <w:szCs w:val="20"/>
          <w:color w:val="auto"/>
        </w:rPr>
        <w:t xml:space="preserve"> The scale of GM’s global business exposes the company to significant human rights risks in its operations and supply chain.</w:t>
      </w:r>
    </w:p>
    <w:p>
      <w:pPr>
        <w:spacing w:after="0" w:line="116" w:lineRule="exact"/>
        <w:rPr>
          <w:sz w:val="20"/>
          <w:szCs w:val="20"/>
          <w:color w:val="auto"/>
        </w:rPr>
      </w:pPr>
    </w:p>
    <w:p>
      <w:pPr>
        <w:jc w:val="both"/>
        <w:ind w:left="160"/>
        <w:spacing w:after="0" w:line="224" w:lineRule="auto"/>
        <w:rPr>
          <w:sz w:val="20"/>
          <w:szCs w:val="20"/>
          <w:color w:val="auto"/>
        </w:rPr>
      </w:pPr>
      <w:r>
        <w:rPr>
          <w:rFonts w:ascii="Arial" w:cs="Arial" w:eastAsia="Arial" w:hAnsi="Arial"/>
          <w:sz w:val="20"/>
          <w:szCs w:val="20"/>
          <w:color w:val="auto"/>
        </w:rPr>
        <w:t>GM relies on complex extended supply chains to source the numerous raw materials used to manufacture cars. GM risks contributing to or being linked to forced labor, child labor, hazardous working conditions, or other adverse human rights impacts, when sourcing from regions with weak rule of law, corruption, conflict, or poor worker protections. For example, GM suppliers may source cobalt mined under conditions of child labor in the Democratic Republic of Congo, where 60% of cobalt is produced and child labor is pervasive.</w:t>
      </w:r>
      <w:r>
        <w:rPr>
          <w:rFonts w:ascii="Arial" w:cs="Arial" w:eastAsia="Arial" w:hAnsi="Arial"/>
          <w:sz w:val="16"/>
          <w:szCs w:val="16"/>
          <w:color w:val="auto"/>
        </w:rPr>
        <w:t>2</w:t>
      </w:r>
      <w:r>
        <w:rPr>
          <w:rFonts w:ascii="Arial" w:cs="Arial" w:eastAsia="Arial" w:hAnsi="Arial"/>
          <w:sz w:val="20"/>
          <w:szCs w:val="20"/>
          <w:color w:val="auto"/>
        </w:rPr>
        <w:t xml:space="preserve"> Reports by Amnesty International and the 2019 Mining the Disclosures benchmark found GM’s cobalt due diligence practices to be inadequate given its awareness of the risk.</w:t>
      </w:r>
      <w:r>
        <w:rPr>
          <w:rFonts w:ascii="Arial" w:cs="Arial" w:eastAsia="Arial" w:hAnsi="Arial"/>
          <w:sz w:val="16"/>
          <w:szCs w:val="16"/>
          <w:color w:val="auto"/>
        </w:rPr>
        <w:t>3</w:t>
      </w:r>
      <w:r>
        <w:rPr>
          <w:rFonts w:ascii="Arial" w:cs="Arial" w:eastAsia="Arial" w:hAnsi="Arial"/>
          <w:sz w:val="20"/>
          <w:szCs w:val="20"/>
          <w:color w:val="auto"/>
        </w:rPr>
        <w:t xml:space="preserve"> Sourcing of conflict minerals, steel, rubber, mica, electronics, and leather also present human rights risks for GM.</w:t>
      </w:r>
      <w:r>
        <w:rPr>
          <w:rFonts w:ascii="Arial" w:cs="Arial" w:eastAsia="Arial" w:hAnsi="Arial"/>
          <w:sz w:val="16"/>
          <w:szCs w:val="16"/>
          <w:color w:val="auto"/>
        </w:rPr>
        <w:t>4</w:t>
      </w:r>
    </w:p>
    <w:p>
      <w:pPr>
        <w:spacing w:after="0" w:line="137"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In its operations, nearly 50,000 members of the GM United Auto Workers union went on strike for six weeks to collectively bargain for higher wages, job security for temporary workers, and better healthcare.</w:t>
      </w:r>
      <w:r>
        <w:rPr>
          <w:rFonts w:ascii="Arial" w:cs="Arial" w:eastAsia="Arial" w:hAnsi="Arial"/>
          <w:sz w:val="16"/>
          <w:szCs w:val="16"/>
          <w:color w:val="auto"/>
        </w:rPr>
        <w:t>5</w:t>
      </w:r>
      <w:r>
        <w:rPr>
          <w:rFonts w:ascii="Arial" w:cs="Arial" w:eastAsia="Arial" w:hAnsi="Arial"/>
          <w:sz w:val="20"/>
          <w:szCs w:val="20"/>
          <w:color w:val="auto"/>
        </w:rPr>
        <w:t xml:space="preserve"> The strike cost GM up to $4 billion in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ind w:left="7"/>
        <w:spacing w:after="0" w:line="228" w:lineRule="auto"/>
        <w:rPr>
          <w:sz w:val="20"/>
          <w:szCs w:val="20"/>
          <w:color w:val="auto"/>
        </w:rPr>
      </w:pPr>
      <w:r>
        <w:rPr>
          <w:rFonts w:ascii="Arial" w:cs="Arial" w:eastAsia="Arial" w:hAnsi="Arial"/>
          <w:sz w:val="20"/>
          <w:szCs w:val="20"/>
          <w:color w:val="auto"/>
        </w:rPr>
        <w:t>earnings.</w:t>
      </w:r>
      <w:r>
        <w:rPr>
          <w:rFonts w:ascii="Arial" w:cs="Arial" w:eastAsia="Arial" w:hAnsi="Arial"/>
          <w:sz w:val="16"/>
          <w:szCs w:val="16"/>
          <w:color w:val="auto"/>
        </w:rPr>
        <w:t>6</w:t>
      </w:r>
      <w:r>
        <w:rPr>
          <w:rFonts w:ascii="Arial" w:cs="Arial" w:eastAsia="Arial" w:hAnsi="Arial"/>
          <w:sz w:val="20"/>
          <w:szCs w:val="20"/>
          <w:color w:val="auto"/>
        </w:rPr>
        <w:t xml:space="preserve"> GM faces multiple lawsuits alleging harassment and discrimination at its Toledo plant from employees who experienced intimidation, threats, and racism in the workplace.</w:t>
      </w:r>
      <w:r>
        <w:rPr>
          <w:rFonts w:ascii="Arial" w:cs="Arial" w:eastAsia="Arial" w:hAnsi="Arial"/>
          <w:sz w:val="16"/>
          <w:szCs w:val="16"/>
          <w:color w:val="auto"/>
        </w:rPr>
        <w:t>7</w:t>
      </w:r>
    </w:p>
    <w:p>
      <w:pPr>
        <w:spacing w:after="0" w:line="129" w:lineRule="exact"/>
        <w:rPr>
          <w:sz w:val="20"/>
          <w:szCs w:val="20"/>
          <w:color w:val="auto"/>
        </w:rPr>
      </w:pPr>
    </w:p>
    <w:p>
      <w:pPr>
        <w:jc w:val="both"/>
        <w:ind w:left="7"/>
        <w:spacing w:after="0" w:line="225" w:lineRule="auto"/>
        <w:rPr>
          <w:sz w:val="20"/>
          <w:szCs w:val="20"/>
          <w:color w:val="auto"/>
        </w:rPr>
      </w:pPr>
      <w:r>
        <w:rPr>
          <w:rFonts w:ascii="Arial" w:cs="Arial" w:eastAsia="Arial" w:hAnsi="Arial"/>
          <w:sz w:val="20"/>
          <w:szCs w:val="20"/>
          <w:color w:val="auto"/>
        </w:rPr>
        <w:t>While GM has policies in place, it does not demonstrate how its Human Rights Policy, Code of Conduct, and Supplier Code are operationalized to ensure human rights are respected. GM does not provide evidence of suppliers’ compliance with labor laws and its Code, or how GM assures suppliers cascade expectations through their own supply chains. Investors are unable to assess the effectiveness of GM’s Awareline or other grievance mechanisms to provide legitimate, accessible, transparent and meaningful remedy to impacted stakeholders.</w:t>
      </w:r>
      <w:r>
        <w:rPr>
          <w:rFonts w:ascii="Arial" w:cs="Arial" w:eastAsia="Arial" w:hAnsi="Arial"/>
          <w:sz w:val="16"/>
          <w:szCs w:val="16"/>
          <w:color w:val="auto"/>
        </w:rPr>
        <w:t>8</w:t>
      </w:r>
    </w:p>
    <w:p>
      <w:pPr>
        <w:spacing w:after="0" w:line="131" w:lineRule="exact"/>
        <w:rPr>
          <w:sz w:val="20"/>
          <w:szCs w:val="20"/>
          <w:color w:val="auto"/>
        </w:rPr>
      </w:pPr>
    </w:p>
    <w:p>
      <w:pPr>
        <w:jc w:val="both"/>
        <w:ind w:left="7"/>
        <w:spacing w:after="0" w:line="230" w:lineRule="auto"/>
        <w:rPr>
          <w:sz w:val="20"/>
          <w:szCs w:val="20"/>
          <w:color w:val="auto"/>
        </w:rPr>
      </w:pPr>
      <w:r>
        <w:rPr>
          <w:rFonts w:ascii="Arial" w:cs="Arial" w:eastAsia="Arial" w:hAnsi="Arial"/>
          <w:sz w:val="20"/>
          <w:szCs w:val="20"/>
          <w:color w:val="auto"/>
        </w:rPr>
        <w:t>GM may face legal, reputational, financial, and business continuity risks if the company fails to address its human rights risks.</w:t>
      </w:r>
    </w:p>
    <w:p>
      <w:pPr>
        <w:spacing w:after="0" w:line="90" w:lineRule="exact"/>
        <w:rPr>
          <w:sz w:val="20"/>
          <w:szCs w:val="20"/>
          <w:color w:val="auto"/>
        </w:rPr>
      </w:pPr>
    </w:p>
    <w:p>
      <w:pPr>
        <w:jc w:val="both"/>
        <w:ind w:left="7"/>
        <w:spacing w:after="0" w:line="235"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Shareholders request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prepare a report, at reasonable cost and omitting proprietary information, on GM’s systems to ensure effective implementation of its Human Rights Policy.</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Supporting Statement</w:t>
      </w:r>
      <w:r>
        <w:rPr>
          <w:rFonts w:ascii="Arial" w:cs="Arial" w:eastAsia="Arial" w:hAnsi="Arial"/>
          <w:sz w:val="20"/>
          <w:szCs w:val="20"/>
          <w:color w:val="auto"/>
        </w:rPr>
        <w:t>: The report might address:</w:t>
      </w:r>
    </w:p>
    <w:p>
      <w:pPr>
        <w:spacing w:after="0" w:line="88" w:lineRule="exact"/>
        <w:rPr>
          <w:sz w:val="20"/>
          <w:szCs w:val="20"/>
          <w:color w:val="auto"/>
        </w:rPr>
      </w:pPr>
    </w:p>
    <w:p>
      <w:pPr>
        <w:jc w:val="both"/>
        <w:ind w:left="247" w:right="20" w:hanging="247"/>
        <w:spacing w:after="0" w:line="228" w:lineRule="auto"/>
        <w:tabs>
          <w:tab w:leader="none" w:pos="247" w:val="left"/>
        </w:tabs>
        <w:numPr>
          <w:ilvl w:val="0"/>
          <w:numId w:val="136"/>
        </w:numPr>
        <w:rPr>
          <w:rFonts w:ascii="Arial" w:cs="Arial" w:eastAsia="Arial" w:hAnsi="Arial"/>
          <w:sz w:val="20"/>
          <w:szCs w:val="20"/>
          <w:color w:val="0033A0"/>
        </w:rPr>
      </w:pPr>
      <w:r>
        <w:rPr>
          <w:rFonts w:ascii="Arial" w:cs="Arial" w:eastAsia="Arial" w:hAnsi="Arial"/>
          <w:sz w:val="20"/>
          <w:szCs w:val="20"/>
          <w:color w:val="auto"/>
        </w:rPr>
        <w:t>Human rights due diligence processes to embed respect for human rights into operations and the value chain, and provide access to remedy for human rights impacts connected to the business; and</w:t>
      </w:r>
    </w:p>
    <w:p>
      <w:pPr>
        <w:spacing w:after="0" w:line="62" w:lineRule="exact"/>
        <w:rPr>
          <w:rFonts w:ascii="Arial" w:cs="Arial" w:eastAsia="Arial" w:hAnsi="Arial"/>
          <w:sz w:val="20"/>
          <w:szCs w:val="20"/>
          <w:color w:val="0033A0"/>
        </w:rPr>
      </w:pPr>
    </w:p>
    <w:p>
      <w:pPr>
        <w:ind w:left="247" w:hanging="247"/>
        <w:spacing w:after="0"/>
        <w:tabs>
          <w:tab w:leader="none" w:pos="247" w:val="left"/>
        </w:tabs>
        <w:numPr>
          <w:ilvl w:val="0"/>
          <w:numId w:val="136"/>
        </w:numPr>
        <w:rPr>
          <w:rFonts w:ascii="Arial" w:cs="Arial" w:eastAsia="Arial" w:hAnsi="Arial"/>
          <w:sz w:val="20"/>
          <w:szCs w:val="20"/>
          <w:color w:val="0033A0"/>
        </w:rPr>
      </w:pPr>
      <w:r>
        <w:rPr>
          <w:rFonts w:ascii="Arial" w:cs="Arial" w:eastAsia="Arial" w:hAnsi="Arial"/>
          <w:sz w:val="20"/>
          <w:szCs w:val="20"/>
          <w:color w:val="auto"/>
        </w:rPr>
        <w:t>Indicators used to assess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3733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160" w:lineRule="exact"/>
        <w:rPr>
          <w:sz w:val="20"/>
          <w:szCs w:val="20"/>
          <w:color w:val="auto"/>
        </w:rPr>
      </w:pPr>
    </w:p>
    <w:p>
      <w:pPr>
        <w:ind w:left="127" w:right="180" w:hanging="127"/>
        <w:spacing w:after="0" w:line="187" w:lineRule="auto"/>
        <w:tabs>
          <w:tab w:leader="none" w:pos="127" w:val="left"/>
        </w:tabs>
        <w:numPr>
          <w:ilvl w:val="0"/>
          <w:numId w:val="137"/>
        </w:numPr>
        <w:rPr>
          <w:rFonts w:ascii="Arial" w:cs="Arial" w:eastAsia="Arial" w:hAnsi="Arial"/>
          <w:sz w:val="22"/>
          <w:szCs w:val="22"/>
          <w:color w:val="auto"/>
          <w:vertAlign w:val="superscript"/>
        </w:rPr>
      </w:pPr>
      <w:r>
        <w:rPr>
          <w:rFonts w:ascii="Arial" w:cs="Arial" w:eastAsia="Arial" w:hAnsi="Arial"/>
          <w:sz w:val="13"/>
          <w:szCs w:val="13"/>
          <w:color w:val="auto"/>
        </w:rPr>
        <w:t>https://www.esri.com/about/newsroom/publications/wherenext/gm-maps-supply-chain-risk/</w:t>
      </w:r>
    </w:p>
    <w:p>
      <w:pPr>
        <w:spacing w:after="0" w:line="7" w:lineRule="exact"/>
        <w:rPr>
          <w:sz w:val="20"/>
          <w:szCs w:val="20"/>
          <w:color w:val="auto"/>
        </w:rPr>
      </w:pPr>
    </w:p>
    <w:p>
      <w:pPr>
        <w:ind w:left="127" w:right="100" w:hanging="127"/>
        <w:spacing w:after="0" w:line="187" w:lineRule="auto"/>
        <w:tabs>
          <w:tab w:leader="none" w:pos="127" w:val="left"/>
        </w:tabs>
        <w:numPr>
          <w:ilvl w:val="0"/>
          <w:numId w:val="138"/>
        </w:numPr>
        <w:rPr>
          <w:rFonts w:ascii="Arial" w:cs="Arial" w:eastAsia="Arial" w:hAnsi="Arial"/>
          <w:sz w:val="22"/>
          <w:szCs w:val="22"/>
          <w:color w:val="auto"/>
          <w:vertAlign w:val="superscript"/>
        </w:rPr>
      </w:pPr>
      <w:r>
        <w:rPr>
          <w:rFonts w:ascii="Arial" w:cs="Arial" w:eastAsia="Arial" w:hAnsi="Arial"/>
          <w:sz w:val="13"/>
          <w:szCs w:val="13"/>
          <w:color w:val="auto"/>
        </w:rPr>
        <w:t>https://www.theguardian.com/news/2019/jan/14/on-the-charge-why-batteries-are-the-future-of-clean-energy</w:t>
      </w:r>
    </w:p>
    <w:p>
      <w:pPr>
        <w:spacing w:after="0" w:line="7" w:lineRule="exact"/>
        <w:rPr>
          <w:sz w:val="20"/>
          <w:szCs w:val="20"/>
          <w:color w:val="auto"/>
        </w:rPr>
      </w:pPr>
    </w:p>
    <w:p>
      <w:pPr>
        <w:ind w:left="127" w:right="1660" w:hanging="127"/>
        <w:spacing w:after="0" w:line="187" w:lineRule="auto"/>
        <w:tabs>
          <w:tab w:leader="none" w:pos="127" w:val="left"/>
        </w:tabs>
        <w:numPr>
          <w:ilvl w:val="0"/>
          <w:numId w:val="139"/>
        </w:numPr>
        <w:rPr>
          <w:rFonts w:ascii="Arial" w:cs="Arial" w:eastAsia="Arial" w:hAnsi="Arial"/>
          <w:sz w:val="22"/>
          <w:szCs w:val="22"/>
          <w:color w:val="auto"/>
          <w:vertAlign w:val="superscript"/>
        </w:rPr>
      </w:pPr>
      <w:r>
        <w:rPr>
          <w:rFonts w:ascii="Arial" w:cs="Arial" w:eastAsia="Arial" w:hAnsi="Arial"/>
          <w:sz w:val="13"/>
          <w:szCs w:val="13"/>
          <w:color w:val="auto"/>
        </w:rPr>
        <w:t>https://www.amnestyusa.org/reports/time-to-recharge/; https://www.sourcingnetwork.org/mining-the- disclosures</w:t>
      </w:r>
    </w:p>
    <w:p>
      <w:pPr>
        <w:ind w:left="127" w:hanging="127"/>
        <w:spacing w:after="0" w:line="186" w:lineRule="auto"/>
        <w:tabs>
          <w:tab w:leader="none" w:pos="127" w:val="left"/>
        </w:tabs>
        <w:numPr>
          <w:ilvl w:val="0"/>
          <w:numId w:val="140"/>
        </w:numPr>
        <w:rPr>
          <w:rFonts w:ascii="Arial" w:cs="Arial" w:eastAsia="Arial" w:hAnsi="Arial"/>
          <w:sz w:val="18"/>
          <w:szCs w:val="18"/>
          <w:color w:val="auto"/>
          <w:vertAlign w:val="superscript"/>
        </w:rPr>
      </w:pPr>
      <w:r>
        <w:rPr>
          <w:rFonts w:ascii="Arial" w:cs="Arial" w:eastAsia="Arial" w:hAnsi="Arial"/>
          <w:sz w:val="11"/>
          <w:szCs w:val="11"/>
          <w:color w:val="auto"/>
        </w:rPr>
        <w:t>https://www.thedragonflyinitiative.com/material-change-report/</w:t>
      </w:r>
    </w:p>
    <w:p>
      <w:pPr>
        <w:ind w:left="127" w:hanging="127"/>
        <w:spacing w:after="0" w:line="186" w:lineRule="auto"/>
        <w:tabs>
          <w:tab w:leader="none" w:pos="127" w:val="left"/>
        </w:tabs>
        <w:numPr>
          <w:ilvl w:val="0"/>
          <w:numId w:val="141"/>
        </w:numPr>
        <w:rPr>
          <w:rFonts w:ascii="Arial" w:cs="Arial" w:eastAsia="Arial" w:hAnsi="Arial"/>
          <w:sz w:val="18"/>
          <w:szCs w:val="18"/>
          <w:color w:val="auto"/>
          <w:vertAlign w:val="superscript"/>
        </w:rPr>
      </w:pPr>
      <w:r>
        <w:rPr>
          <w:rFonts w:ascii="Arial" w:cs="Arial" w:eastAsia="Arial" w:hAnsi="Arial"/>
          <w:sz w:val="11"/>
          <w:szCs w:val="11"/>
          <w:color w:val="auto"/>
        </w:rPr>
        <w:t>https://www.cnn.com/2019/10/25/business/gm-strike-uaw-vote/index.html</w:t>
      </w:r>
    </w:p>
    <w:p>
      <w:pPr>
        <w:ind w:left="127" w:hanging="127"/>
        <w:spacing w:after="0" w:line="184" w:lineRule="auto"/>
        <w:tabs>
          <w:tab w:leader="none" w:pos="127" w:val="left"/>
        </w:tabs>
        <w:numPr>
          <w:ilvl w:val="0"/>
          <w:numId w:val="142"/>
        </w:numPr>
        <w:rPr>
          <w:rFonts w:ascii="Arial" w:cs="Arial" w:eastAsia="Arial" w:hAnsi="Arial"/>
          <w:sz w:val="19"/>
          <w:szCs w:val="19"/>
          <w:color w:val="auto"/>
          <w:vertAlign w:val="superscript"/>
        </w:rPr>
      </w:pPr>
      <w:r>
        <w:rPr>
          <w:rFonts w:ascii="Arial" w:cs="Arial" w:eastAsia="Arial" w:hAnsi="Arial"/>
          <w:sz w:val="12"/>
          <w:szCs w:val="12"/>
          <w:color w:val="auto"/>
        </w:rPr>
        <w:t>https://www.cnbc.com/2019/10/29/uaw-strike-cost-gm-about-3point8-billion-for-</w:t>
      </w:r>
    </w:p>
    <w:p>
      <w:pPr>
        <w:ind w:left="127"/>
        <w:spacing w:after="0" w:line="229" w:lineRule="auto"/>
        <w:rPr>
          <w:sz w:val="20"/>
          <w:szCs w:val="20"/>
          <w:color w:val="auto"/>
        </w:rPr>
      </w:pPr>
      <w:r>
        <w:rPr>
          <w:rFonts w:ascii="Arial" w:cs="Arial" w:eastAsia="Arial" w:hAnsi="Arial"/>
          <w:sz w:val="14"/>
          <w:szCs w:val="14"/>
          <w:color w:val="auto"/>
        </w:rPr>
        <w:t>2019-substantially-higher-than-estimated.html</w:t>
      </w:r>
    </w:p>
    <w:p>
      <w:pPr>
        <w:ind w:left="127" w:hanging="127"/>
        <w:spacing w:after="0" w:line="184" w:lineRule="auto"/>
        <w:tabs>
          <w:tab w:leader="none" w:pos="127" w:val="left"/>
        </w:tabs>
        <w:numPr>
          <w:ilvl w:val="0"/>
          <w:numId w:val="143"/>
        </w:numPr>
        <w:rPr>
          <w:rFonts w:ascii="Arial" w:cs="Arial" w:eastAsia="Arial" w:hAnsi="Arial"/>
          <w:sz w:val="19"/>
          <w:szCs w:val="19"/>
          <w:color w:val="auto"/>
          <w:vertAlign w:val="superscript"/>
        </w:rPr>
      </w:pPr>
      <w:r>
        <w:rPr>
          <w:rFonts w:ascii="Arial" w:cs="Arial" w:eastAsia="Arial" w:hAnsi="Arial"/>
          <w:sz w:val="12"/>
          <w:szCs w:val="12"/>
          <w:color w:val="auto"/>
        </w:rPr>
        <w:t>https://www.cnn.com/2019/01/16/us/gm-toledo-racism lawsuit/index.html</w:t>
      </w:r>
    </w:p>
    <w:p>
      <w:pPr>
        <w:ind w:left="7"/>
        <w:spacing w:after="0"/>
        <w:rPr>
          <w:rFonts w:ascii="Arial" w:cs="Arial" w:eastAsia="Arial" w:hAnsi="Arial"/>
          <w:sz w:val="19"/>
          <w:szCs w:val="19"/>
          <w:color w:val="auto"/>
          <w:vertAlign w:val="superscript"/>
        </w:rPr>
      </w:pPr>
      <w:r>
        <w:rPr>
          <w:rFonts w:ascii="Arial" w:cs="Arial" w:eastAsia="Arial" w:hAnsi="Arial"/>
          <w:sz w:val="24"/>
          <w:szCs w:val="24"/>
          <w:color w:val="auto"/>
          <w:vertAlign w:val="superscript"/>
        </w:rPr>
        <w:t>8</w:t>
      </w:r>
      <w:r>
        <w:rPr>
          <w:rFonts w:ascii="Arial" w:cs="Arial" w:eastAsia="Arial" w:hAnsi="Arial"/>
          <w:sz w:val="14"/>
          <w:szCs w:val="14"/>
          <w:color w:val="auto"/>
        </w:rPr>
        <w:t xml:space="preserve"> UNGP Principle 31.</w:t>
      </w:r>
    </w:p>
    <w:p>
      <w:pPr>
        <w:spacing w:after="0" w:line="388"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70"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94 </w:t>
      </w:r>
      <w:r>
        <w:rPr>
          <w:sz w:val="1"/>
          <w:szCs w:val="1"/>
          <w:color w:val="auto"/>
        </w:rPr>
        <w:drawing>
          <wp:inline distT="0" distB="0" distL="0" distR="0">
            <wp:extent cx="6793865" cy="10160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A1DF"/>
        </w:rPr>
        <w:t xml:space="preserve">ITEM NO. 8 </w:t>
      </w:r>
      <w:r>
        <w:rPr>
          <w:rFonts w:ascii="Arial" w:cs="Arial" w:eastAsia="Arial" w:hAnsi="Arial"/>
          <w:sz w:val="14"/>
          <w:szCs w:val="14"/>
          <w:b w:val="1"/>
          <w:bCs w:val="1"/>
          <w:color w:val="0033A0"/>
        </w:rPr>
        <w:t>– SHAREHOLDER PROPOSAL REGARDING REPORT ON HUMAN RIGHTS POLICY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63436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29755" cy="6343650"/>
                    </a:xfrm>
                    <a:prstGeom prst="rect">
                      <a:avLst/>
                    </a:prstGeom>
                    <a:noFill/>
                  </pic:spPr>
                </pic:pic>
              </a:graphicData>
            </a:graphic>
          </wp:anchor>
        </w:drawing>
      </w:r>
    </w:p>
    <w:p>
      <w:pPr>
        <w:spacing w:after="0" w:line="339" w:lineRule="exact"/>
        <w:rPr>
          <w:sz w:val="20"/>
          <w:szCs w:val="20"/>
          <w:color w:val="auto"/>
        </w:rPr>
      </w:pPr>
    </w:p>
    <w:p>
      <w:pPr>
        <w:ind w:left="420" w:right="300"/>
        <w:spacing w:after="0" w:line="281" w:lineRule="auto"/>
        <w:rPr>
          <w:sz w:val="20"/>
          <w:szCs w:val="20"/>
          <w:color w:val="auto"/>
        </w:rPr>
      </w:pPr>
      <w:r>
        <w:rPr>
          <w:rFonts w:ascii="Arial" w:cs="Arial" w:eastAsia="Arial" w:hAnsi="Arial"/>
          <w:sz w:val="25"/>
          <w:szCs w:val="25"/>
          <w:b w:val="1"/>
          <w:bCs w:val="1"/>
          <w:color w:val="0033A0"/>
        </w:rPr>
        <w:t xml:space="preserve">Your Board of Directors recommends a vote </w:t>
      </w:r>
      <w:r>
        <w:rPr>
          <w:rFonts w:ascii="Arial" w:cs="Arial" w:eastAsia="Arial" w:hAnsi="Arial"/>
          <w:sz w:val="25"/>
          <w:szCs w:val="25"/>
          <w:b w:val="1"/>
          <w:bCs w:val="1"/>
          <w:u w:val="single" w:color="auto"/>
          <w:color w:val="00A1DF"/>
        </w:rPr>
        <w:t>AGAINST</w:t>
      </w:r>
      <w:r>
        <w:rPr>
          <w:rFonts w:ascii="Arial" w:cs="Arial" w:eastAsia="Arial" w:hAnsi="Arial"/>
          <w:sz w:val="25"/>
          <w:szCs w:val="25"/>
          <w:b w:val="1"/>
          <w:bCs w:val="1"/>
          <w:color w:val="0033A0"/>
        </w:rPr>
        <w:t xml:space="preserve"> this shareholder proposal for the following reasons:</w:t>
      </w:r>
    </w:p>
    <w:p>
      <w:pPr>
        <w:sectPr>
          <w:pgSz w:w="11900" w:h="16838" w:orient="portrait"/>
          <w:cols w:equalWidth="0" w:num="1">
            <w:col w:w="11100"/>
          </w:cols>
          <w:pgMar w:left="320" w:top="456" w:right="479" w:bottom="1440" w:gutter="0" w:footer="0" w:header="0"/>
        </w:sectPr>
      </w:pPr>
    </w:p>
    <w:p>
      <w:pPr>
        <w:spacing w:after="0" w:line="286" w:lineRule="exact"/>
        <w:rPr>
          <w:sz w:val="20"/>
          <w:szCs w:val="20"/>
          <w:color w:val="auto"/>
        </w:rPr>
      </w:pPr>
    </w:p>
    <w:p>
      <w:pPr>
        <w:jc w:val="both"/>
        <w:ind w:left="380" w:right="180"/>
        <w:spacing w:after="0" w:line="281" w:lineRule="auto"/>
        <w:rPr>
          <w:sz w:val="20"/>
          <w:szCs w:val="20"/>
          <w:color w:val="auto"/>
        </w:rPr>
      </w:pPr>
      <w:r>
        <w:rPr>
          <w:rFonts w:ascii="Arial" w:cs="Arial" w:eastAsia="Arial" w:hAnsi="Arial"/>
          <w:sz w:val="21"/>
          <w:szCs w:val="21"/>
          <w:b w:val="1"/>
          <w:bCs w:val="1"/>
          <w:i w:val="1"/>
          <w:iCs w:val="1"/>
          <w:color w:val="auto"/>
        </w:rPr>
        <w:t>GM’s Human Rights Policy reflects GM’s strong focus on human rights, diversity, and inclusion.</w:t>
      </w:r>
    </w:p>
    <w:p>
      <w:pPr>
        <w:spacing w:after="0" w:line="92" w:lineRule="exact"/>
        <w:rPr>
          <w:sz w:val="20"/>
          <w:szCs w:val="20"/>
          <w:color w:val="auto"/>
        </w:rPr>
      </w:pPr>
    </w:p>
    <w:p>
      <w:pPr>
        <w:jc w:val="both"/>
        <w:ind w:left="380"/>
        <w:spacing w:after="0" w:line="225" w:lineRule="auto"/>
        <w:rPr>
          <w:sz w:val="20"/>
          <w:szCs w:val="20"/>
          <w:color w:val="auto"/>
        </w:rPr>
      </w:pPr>
      <w:r>
        <w:rPr>
          <w:rFonts w:ascii="Arial" w:cs="Arial" w:eastAsia="Arial" w:hAnsi="Arial"/>
          <w:sz w:val="20"/>
          <w:szCs w:val="20"/>
          <w:color w:val="auto"/>
        </w:rPr>
        <w:t>GM is committed to the highest standards of ethical conduct and respect for human rights. This commitment is cascaded throughout our global operations, global supply chain, and all of the businesses and entities that provide materials, parts, and services to GM. GM is building an inclusive and unified workforce – a true Workplace of Choice – where everyone understands our vision, believes in their role in securing GM’s future, and shares in our success.</w:t>
      </w:r>
    </w:p>
    <w:p>
      <w:pPr>
        <w:spacing w:after="0" w:line="99" w:lineRule="exact"/>
        <w:rPr>
          <w:sz w:val="20"/>
          <w:szCs w:val="20"/>
          <w:color w:val="auto"/>
        </w:rPr>
      </w:pPr>
    </w:p>
    <w:p>
      <w:pPr>
        <w:jc w:val="both"/>
        <w:ind w:left="380"/>
        <w:spacing w:after="0" w:line="239" w:lineRule="auto"/>
        <w:rPr>
          <w:sz w:val="20"/>
          <w:szCs w:val="20"/>
          <w:color w:val="auto"/>
        </w:rPr>
      </w:pPr>
      <w:r>
        <w:rPr>
          <w:rFonts w:ascii="Arial" w:cs="Arial" w:eastAsia="Arial" w:hAnsi="Arial"/>
          <w:sz w:val="19"/>
          <w:szCs w:val="19"/>
          <w:color w:val="auto"/>
        </w:rPr>
        <w:t xml:space="preserve">In 2016, GM adopted its </w:t>
      </w:r>
      <w:r>
        <w:rPr>
          <w:rFonts w:ascii="Arial" w:cs="Arial" w:eastAsia="Arial" w:hAnsi="Arial"/>
          <w:sz w:val="19"/>
          <w:szCs w:val="19"/>
          <w:i w:val="1"/>
          <w:iCs w:val="1"/>
          <w:color w:val="auto"/>
        </w:rPr>
        <w:t>Human Rights Policy</w:t>
      </w:r>
      <w:r>
        <w:rPr>
          <w:rFonts w:ascii="Arial" w:cs="Arial" w:eastAsia="Arial" w:hAnsi="Arial"/>
          <w:sz w:val="19"/>
          <w:szCs w:val="19"/>
          <w:color w:val="auto"/>
        </w:rPr>
        <w:t xml:space="preserve">, which underscores our commitment to maintaining a workplace where employees are treated with dignity and respect. GM has also adopted a standalone </w:t>
      </w:r>
      <w:r>
        <w:rPr>
          <w:rFonts w:ascii="Arial" w:cs="Arial" w:eastAsia="Arial" w:hAnsi="Arial"/>
          <w:sz w:val="19"/>
          <w:szCs w:val="19"/>
          <w:i w:val="1"/>
          <w:iCs w:val="1"/>
          <w:color w:val="auto"/>
        </w:rPr>
        <w:t>Supplier Code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Conduct </w:t>
      </w:r>
      <w:r>
        <w:rPr>
          <w:rFonts w:ascii="Arial" w:cs="Arial" w:eastAsia="Arial" w:hAnsi="Arial"/>
          <w:sz w:val="19"/>
          <w:szCs w:val="19"/>
          <w:color w:val="auto"/>
        </w:rPr>
        <w:t>to ensure that our suppliers and other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partners share our values through compliance with several GM policies, including our </w:t>
      </w:r>
      <w:r>
        <w:rPr>
          <w:rFonts w:ascii="Arial" w:cs="Arial" w:eastAsia="Arial" w:hAnsi="Arial"/>
          <w:sz w:val="19"/>
          <w:szCs w:val="19"/>
          <w:i w:val="1"/>
          <w:iCs w:val="1"/>
          <w:color w:val="auto"/>
        </w:rPr>
        <w:t>Human Rights Policy</w:t>
      </w:r>
      <w:r>
        <w:rPr>
          <w:rFonts w:ascii="Arial" w:cs="Arial" w:eastAsia="Arial" w:hAnsi="Arial"/>
          <w:sz w:val="19"/>
          <w:szCs w:val="19"/>
          <w:color w:val="auto"/>
        </w:rPr>
        <w:t xml:space="preserve">; </w:t>
      </w:r>
      <w:r>
        <w:rPr>
          <w:rFonts w:ascii="Arial" w:cs="Arial" w:eastAsia="Arial" w:hAnsi="Arial"/>
          <w:sz w:val="19"/>
          <w:szCs w:val="19"/>
          <w:i w:val="1"/>
          <w:iCs w:val="1"/>
          <w:color w:val="auto"/>
        </w:rPr>
        <w:t>Code of Conduct, Winning with Integrity; Conflict Minerals Policy</w:t>
      </w:r>
      <w:r>
        <w:rPr>
          <w:rFonts w:ascii="Arial" w:cs="Arial" w:eastAsia="Arial" w:hAnsi="Arial"/>
          <w:sz w:val="19"/>
          <w:szCs w:val="19"/>
          <w:color w:val="auto"/>
        </w:rPr>
        <w:t>; and</w:t>
      </w:r>
      <w:r>
        <w:rPr>
          <w:rFonts w:ascii="Arial" w:cs="Arial" w:eastAsia="Arial" w:hAnsi="Arial"/>
          <w:sz w:val="19"/>
          <w:szCs w:val="19"/>
          <w:i w:val="1"/>
          <w:iCs w:val="1"/>
          <w:color w:val="auto"/>
        </w:rPr>
        <w:t xml:space="preserve"> Speak Up For Safety</w:t>
      </w:r>
      <w:r>
        <w:rPr>
          <w:rFonts w:ascii="Arial" w:cs="Arial" w:eastAsia="Arial" w:hAnsi="Arial"/>
          <w:sz w:val="19"/>
          <w:szCs w:val="19"/>
          <w:color w:val="auto"/>
        </w:rPr>
        <w:t>. Our</w:t>
      </w:r>
      <w:r>
        <w:rPr>
          <w:rFonts w:ascii="Arial" w:cs="Arial" w:eastAsia="Arial" w:hAnsi="Arial"/>
          <w:sz w:val="19"/>
          <w:szCs w:val="19"/>
          <w:i w:val="1"/>
          <w:iCs w:val="1"/>
          <w:color w:val="auto"/>
        </w:rPr>
        <w:t xml:space="preserve"> Supplier Code of Conduct </w:t>
      </w:r>
      <w:r>
        <w:rPr>
          <w:rFonts w:ascii="Arial" w:cs="Arial" w:eastAsia="Arial" w:hAnsi="Arial"/>
          <w:sz w:val="19"/>
          <w:szCs w:val="19"/>
          <w:color w:val="auto"/>
        </w:rPr>
        <w:t>articulates GM’s expectations that, among other</w:t>
      </w:r>
      <w:r>
        <w:rPr>
          <w:rFonts w:ascii="Arial" w:cs="Arial" w:eastAsia="Arial" w:hAnsi="Arial"/>
          <w:sz w:val="19"/>
          <w:szCs w:val="19"/>
          <w:i w:val="1"/>
          <w:iCs w:val="1"/>
          <w:color w:val="auto"/>
        </w:rPr>
        <w:t xml:space="preserve"> </w:t>
      </w:r>
      <w:r>
        <w:rPr>
          <w:rFonts w:ascii="Arial" w:cs="Arial" w:eastAsia="Arial" w:hAnsi="Arial"/>
          <w:sz w:val="19"/>
          <w:szCs w:val="19"/>
          <w:color w:val="auto"/>
        </w:rPr>
        <w:t>things, its suppliers and business partners will:</w:t>
      </w:r>
    </w:p>
    <w:p>
      <w:pPr>
        <w:spacing w:after="0" w:line="128" w:lineRule="exact"/>
        <w:rPr>
          <w:sz w:val="20"/>
          <w:szCs w:val="20"/>
          <w:color w:val="auto"/>
        </w:rPr>
      </w:pPr>
    </w:p>
    <w:p>
      <w:pPr>
        <w:jc w:val="both"/>
        <w:ind w:left="680" w:hanging="272"/>
        <w:spacing w:after="0" w:line="227" w:lineRule="auto"/>
        <w:tabs>
          <w:tab w:leader="none" w:pos="680" w:val="left"/>
        </w:tabs>
        <w:numPr>
          <w:ilvl w:val="0"/>
          <w:numId w:val="144"/>
        </w:numPr>
        <w:rPr>
          <w:rFonts w:ascii="Arial" w:cs="Arial" w:eastAsia="Arial" w:hAnsi="Arial"/>
          <w:sz w:val="20"/>
          <w:szCs w:val="20"/>
          <w:color w:val="00A1DF"/>
        </w:rPr>
      </w:pPr>
      <w:r>
        <w:rPr>
          <w:rFonts w:ascii="Arial" w:cs="Arial" w:eastAsia="Arial" w:hAnsi="Arial"/>
          <w:sz w:val="20"/>
          <w:szCs w:val="20"/>
          <w:color w:val="auto"/>
        </w:rPr>
        <w:t>comply with laws that promote safe working conditions and individual security; prohibit slavery, forced labor, child labor, human trafficking, harassment, and unlawful discrimination; and ensure the right to engage in collective bargaining;</w:t>
      </w:r>
    </w:p>
    <w:p>
      <w:pPr>
        <w:spacing w:after="0" w:line="62" w:lineRule="exact"/>
        <w:rPr>
          <w:rFonts w:ascii="Arial" w:cs="Arial" w:eastAsia="Arial" w:hAnsi="Arial"/>
          <w:sz w:val="20"/>
          <w:szCs w:val="20"/>
          <w:color w:val="00A1DF"/>
        </w:rPr>
      </w:pPr>
    </w:p>
    <w:p>
      <w:pPr>
        <w:jc w:val="both"/>
        <w:ind w:left="680" w:right="20" w:hanging="272"/>
        <w:spacing w:after="0" w:line="227" w:lineRule="auto"/>
        <w:tabs>
          <w:tab w:leader="none" w:pos="680" w:val="left"/>
        </w:tabs>
        <w:numPr>
          <w:ilvl w:val="0"/>
          <w:numId w:val="144"/>
        </w:numPr>
        <w:rPr>
          <w:rFonts w:ascii="Arial" w:cs="Arial" w:eastAsia="Arial" w:hAnsi="Arial"/>
          <w:sz w:val="20"/>
          <w:szCs w:val="20"/>
          <w:color w:val="00A1DF"/>
        </w:rPr>
      </w:pPr>
      <w:r>
        <w:rPr>
          <w:rFonts w:ascii="Arial" w:cs="Arial" w:eastAsia="Arial" w:hAnsi="Arial"/>
          <w:sz w:val="20"/>
          <w:szCs w:val="20"/>
          <w:color w:val="auto"/>
        </w:rPr>
        <w:t>maintain a reporting mechanism for their employees to raise integrity concerns, safety issues, and misconduct without fear of retaliation as well as appropriately investigate reports and take corrective action;</w:t>
      </w:r>
    </w:p>
    <w:p>
      <w:pPr>
        <w:spacing w:after="0" w:line="62" w:lineRule="exact"/>
        <w:rPr>
          <w:rFonts w:ascii="Arial" w:cs="Arial" w:eastAsia="Arial" w:hAnsi="Arial"/>
          <w:sz w:val="20"/>
          <w:szCs w:val="20"/>
          <w:color w:val="00A1DF"/>
        </w:rPr>
      </w:pPr>
    </w:p>
    <w:p>
      <w:pPr>
        <w:jc w:val="both"/>
        <w:ind w:left="680" w:right="180" w:hanging="272"/>
        <w:spacing w:after="0" w:line="230" w:lineRule="auto"/>
        <w:tabs>
          <w:tab w:leader="none" w:pos="680" w:val="left"/>
        </w:tabs>
        <w:numPr>
          <w:ilvl w:val="0"/>
          <w:numId w:val="144"/>
        </w:numPr>
        <w:rPr>
          <w:rFonts w:ascii="Arial" w:cs="Arial" w:eastAsia="Arial" w:hAnsi="Arial"/>
          <w:sz w:val="20"/>
          <w:szCs w:val="20"/>
          <w:color w:val="00A1DF"/>
        </w:rPr>
      </w:pPr>
      <w:r>
        <w:rPr>
          <w:rFonts w:ascii="Arial" w:cs="Arial" w:eastAsia="Arial" w:hAnsi="Arial"/>
          <w:sz w:val="20"/>
          <w:szCs w:val="20"/>
          <w:color w:val="auto"/>
        </w:rPr>
        <w:t>cascade policies and expectations that align with those of GM throughout their own supply chains;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414655</wp:posOffset>
            </wp:positionV>
            <wp:extent cx="6793865" cy="1016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480" w:right="240" w:hanging="279"/>
        <w:spacing w:after="0" w:line="234" w:lineRule="auto"/>
        <w:tabs>
          <w:tab w:leader="none" w:pos="460" w:val="left"/>
        </w:tabs>
        <w:rPr>
          <w:sz w:val="20"/>
          <w:szCs w:val="20"/>
          <w:color w:val="auto"/>
        </w:rPr>
      </w:pPr>
      <w:r>
        <w:rPr>
          <w:rFonts w:ascii="Arial" w:cs="Arial" w:eastAsia="Arial" w:hAnsi="Arial"/>
          <w:sz w:val="20"/>
          <w:szCs w:val="20"/>
          <w:color w:val="00A1DF"/>
        </w:rPr>
        <w:t>u</w:t>
      </w:r>
      <w:r>
        <w:rPr>
          <w:sz w:val="20"/>
          <w:szCs w:val="20"/>
          <w:color w:val="auto"/>
        </w:rPr>
        <w:tab/>
      </w:r>
      <w:r>
        <w:rPr>
          <w:rFonts w:ascii="Arial" w:cs="Arial" w:eastAsia="Arial" w:hAnsi="Arial"/>
          <w:sz w:val="20"/>
          <w:szCs w:val="20"/>
          <w:color w:val="auto"/>
        </w:rPr>
        <w:t xml:space="preserve">be able to demonstrate compliance with GM’s </w:t>
      </w:r>
      <w:r>
        <w:rPr>
          <w:rFonts w:ascii="Arial" w:cs="Arial" w:eastAsia="Arial" w:hAnsi="Arial"/>
          <w:sz w:val="20"/>
          <w:szCs w:val="20"/>
          <w:i w:val="1"/>
          <w:iCs w:val="1"/>
          <w:color w:val="auto"/>
        </w:rPr>
        <w:t xml:space="preserve">Supplier Code of Conduct </w:t>
      </w:r>
      <w:r>
        <w:rPr>
          <w:rFonts w:ascii="Arial" w:cs="Arial" w:eastAsia="Arial" w:hAnsi="Arial"/>
          <w:sz w:val="20"/>
          <w:szCs w:val="20"/>
          <w:color w:val="auto"/>
        </w:rPr>
        <w:t>upon request.</w:t>
      </w:r>
    </w:p>
    <w:p>
      <w:pPr>
        <w:spacing w:after="0" w:line="111" w:lineRule="exact"/>
        <w:rPr>
          <w:sz w:val="20"/>
          <w:szCs w:val="20"/>
          <w:color w:val="auto"/>
        </w:rPr>
      </w:pPr>
    </w:p>
    <w:p>
      <w:pPr>
        <w:ind w:right="540"/>
        <w:spacing w:after="0" w:line="281" w:lineRule="auto"/>
        <w:rPr>
          <w:sz w:val="20"/>
          <w:szCs w:val="20"/>
          <w:color w:val="auto"/>
        </w:rPr>
      </w:pPr>
      <w:r>
        <w:rPr>
          <w:rFonts w:ascii="Arial" w:cs="Arial" w:eastAsia="Arial" w:hAnsi="Arial"/>
          <w:sz w:val="21"/>
          <w:szCs w:val="21"/>
          <w:b w:val="1"/>
          <w:bCs w:val="1"/>
          <w:i w:val="1"/>
          <w:iCs w:val="1"/>
          <w:color w:val="auto"/>
        </w:rPr>
        <w:t>Your Board holds management accountable for protecting and enhancing our culture.</w:t>
      </w:r>
    </w:p>
    <w:p>
      <w:pPr>
        <w:spacing w:after="0" w:line="79" w:lineRule="exact"/>
        <w:rPr>
          <w:sz w:val="20"/>
          <w:szCs w:val="20"/>
          <w:color w:val="auto"/>
        </w:rPr>
      </w:pPr>
    </w:p>
    <w:p>
      <w:pPr>
        <w:jc w:val="both"/>
        <w:ind w:right="220"/>
        <w:spacing w:after="0" w:line="237" w:lineRule="auto"/>
        <w:rPr>
          <w:sz w:val="20"/>
          <w:szCs w:val="20"/>
          <w:color w:val="auto"/>
        </w:rPr>
      </w:pPr>
      <w:r>
        <w:rPr>
          <w:rFonts w:ascii="Arial" w:cs="Arial" w:eastAsia="Arial" w:hAnsi="Arial"/>
          <w:sz w:val="19"/>
          <w:szCs w:val="19"/>
          <w:color w:val="auto"/>
        </w:rPr>
        <w:t>GM has several reporting mechanisms and strong anti-retaliation policies in place. Management monitors GM’s operations, partners, and suppliers for potential violations and takes action if violations occur, up to and including terminating employees and canceling supplier contracts. In addition, our employees, suppliers, contractors, and others can report any incidents or concerns (on an anonymous basis, if desired) using GM’s Awareline 24 hours per day, seven days per week by phone, web, email, mail, or fax. Your Board actively oversees management’s adherence to these mechanisms and policies.</w:t>
      </w:r>
    </w:p>
    <w:p>
      <w:pPr>
        <w:spacing w:after="0" w:line="99" w:lineRule="exact"/>
        <w:rPr>
          <w:sz w:val="20"/>
          <w:szCs w:val="20"/>
          <w:color w:val="auto"/>
        </w:rPr>
      </w:pPr>
    </w:p>
    <w:p>
      <w:pPr>
        <w:ind w:right="300"/>
        <w:spacing w:after="0" w:line="260" w:lineRule="auto"/>
        <w:rPr>
          <w:sz w:val="20"/>
          <w:szCs w:val="20"/>
          <w:color w:val="auto"/>
        </w:rPr>
      </w:pPr>
      <w:r>
        <w:rPr>
          <w:rFonts w:ascii="Arial" w:cs="Arial" w:eastAsia="Arial" w:hAnsi="Arial"/>
          <w:sz w:val="21"/>
          <w:szCs w:val="21"/>
          <w:b w:val="1"/>
          <w:bCs w:val="1"/>
          <w:i w:val="1"/>
          <w:iCs w:val="1"/>
          <w:color w:val="auto"/>
        </w:rPr>
        <w:t>The requested report is unnecessary because GM already follows robust and transparent reporting practices.</w:t>
      </w:r>
    </w:p>
    <w:p>
      <w:pPr>
        <w:spacing w:after="0" w:line="113" w:lineRule="exact"/>
        <w:rPr>
          <w:sz w:val="20"/>
          <w:szCs w:val="20"/>
          <w:color w:val="auto"/>
        </w:rPr>
      </w:pPr>
    </w:p>
    <w:p>
      <w:pPr>
        <w:jc w:val="both"/>
        <w:ind w:right="220"/>
        <w:spacing w:after="0" w:line="226" w:lineRule="auto"/>
        <w:rPr>
          <w:sz w:val="20"/>
          <w:szCs w:val="20"/>
          <w:color w:val="auto"/>
        </w:rPr>
      </w:pPr>
      <w:r>
        <w:rPr>
          <w:rFonts w:ascii="Arial" w:cs="Arial" w:eastAsia="Arial" w:hAnsi="Arial"/>
          <w:sz w:val="20"/>
          <w:szCs w:val="20"/>
          <w:color w:val="auto"/>
        </w:rPr>
        <w:t>The Company’s approach to supply chain governance, compliance, and policy implementation is addressed in its annual sustainability report. Furthermore, GM engages regularly with shareholders and other stakeholders on these and other critical ESG issues. GM will continue to provide robust public disclosure on its actions and engagement on human rights matters.</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0033A0"/>
        </w:rPr>
        <w:t>Learn More</w:t>
      </w:r>
    </w:p>
    <w:p>
      <w:pPr>
        <w:spacing w:after="0" w:line="255" w:lineRule="exact"/>
        <w:rPr>
          <w:sz w:val="20"/>
          <w:szCs w:val="20"/>
          <w:color w:val="auto"/>
        </w:rPr>
      </w:pPr>
    </w:p>
    <w:p>
      <w:pPr>
        <w:jc w:val="both"/>
        <w:ind w:left="360" w:right="300"/>
        <w:spacing w:after="0" w:line="228" w:lineRule="auto"/>
        <w:rPr>
          <w:sz w:val="20"/>
          <w:szCs w:val="20"/>
          <w:color w:val="auto"/>
        </w:rPr>
      </w:pPr>
      <w:r>
        <w:rPr>
          <w:rFonts w:ascii="Arial" w:cs="Arial" w:eastAsia="Arial" w:hAnsi="Arial"/>
          <w:sz w:val="20"/>
          <w:szCs w:val="20"/>
          <w:color w:val="auto"/>
        </w:rPr>
        <w:t>For a discussion of our ongoing efforts to protect the rights of everyone working for and with GM, see “Spotlight on Key ESG Initiatives—Responsible Sourcing” on page 32 of this Proxy Statement.</w:t>
      </w:r>
    </w:p>
    <w:p>
      <w:pPr>
        <w:spacing w:after="0" w:line="575"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95</w:t>
      </w:r>
    </w:p>
    <w:p>
      <w:pPr>
        <w:sectPr>
          <w:pgSz w:w="11900" w:h="16838" w:orient="portrait"/>
          <w:cols w:equalWidth="0" w:num="1">
            <w:col w:w="11100"/>
          </w:cols>
          <w:pgMar w:left="320" w:top="456" w:right="47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780" w:right="480" w:hanging="2620"/>
        <w:spacing w:after="0" w:line="248" w:lineRule="auto"/>
        <w:tabs>
          <w:tab w:leader="none" w:pos="2760" w:val="left"/>
        </w:tabs>
        <w:rPr>
          <w:sz w:val="20"/>
          <w:szCs w:val="20"/>
          <w:color w:val="auto"/>
        </w:rPr>
      </w:pPr>
      <w:r>
        <w:rPr>
          <w:rFonts w:ascii="Arial" w:cs="Arial" w:eastAsia="Arial" w:hAnsi="Arial"/>
          <w:sz w:val="37"/>
          <w:szCs w:val="37"/>
          <w:b w:val="1"/>
          <w:bCs w:val="1"/>
          <w:color w:val="00A1DF"/>
        </w:rPr>
        <w:t xml:space="preserve">ITEM NO. 9 </w:t>
      </w:r>
      <w:r>
        <w:rPr>
          <w:rFonts w:ascii="Arial" w:cs="Arial" w:eastAsia="Arial" w:hAnsi="Arial"/>
          <w:sz w:val="37"/>
          <w:szCs w:val="37"/>
          <w:color w:val="0033A0"/>
        </w:rPr>
        <w:t>–</w:t>
      </w:r>
      <w:r>
        <w:rPr>
          <w:sz w:val="20"/>
          <w:szCs w:val="20"/>
          <w:color w:val="auto"/>
        </w:rPr>
        <w:tab/>
      </w:r>
      <w:r>
        <w:rPr>
          <w:rFonts w:ascii="Arial" w:cs="Arial" w:eastAsia="Arial" w:hAnsi="Arial"/>
          <w:sz w:val="37"/>
          <w:szCs w:val="37"/>
          <w:color w:val="0033A0"/>
        </w:rPr>
        <w:t>SHAREHOLDER PROPOSAL REGARDING REPORT ON LOBBYING COMMUNICATIONS AND ACTIVITIES</w:t>
      </w:r>
    </w:p>
    <w:p>
      <w:pPr>
        <w:sectPr>
          <w:pgSz w:w="11900" w:h="16838" w:orient="portrait"/>
          <w:cols w:equalWidth="0" w:num="1">
            <w:col w:w="11080"/>
          </w:cols>
          <w:pgMar w:left="320" w:top="456" w:right="499" w:bottom="1440" w:gutter="0" w:footer="0" w:header="0"/>
        </w:sectPr>
      </w:pPr>
    </w:p>
    <w:p>
      <w:pPr>
        <w:spacing w:after="0" w:line="286"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i w:val="1"/>
          <w:iCs w:val="1"/>
          <w:color w:val="auto"/>
        </w:rPr>
        <w:t>We will provide the name, address, and share ownership of the shareholders who submitted this Rule 14a-8 shareholder proposal upon a shareholder’s request. The shareholder proponents are responsible for the content of the proposal for which we and our Board accept no responsibility.</w:t>
      </w:r>
    </w:p>
    <w:p>
      <w:pPr>
        <w:spacing w:after="0" w:line="105" w:lineRule="exact"/>
        <w:rPr>
          <w:sz w:val="20"/>
          <w:szCs w:val="20"/>
          <w:color w:val="auto"/>
        </w:rPr>
      </w:pPr>
    </w:p>
    <w:p>
      <w:pPr>
        <w:jc w:val="both"/>
        <w:ind w:left="160"/>
        <w:spacing w:after="0" w:line="2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we believe in full disclosure of General Motors’</w:t>
      </w:r>
      <w:r>
        <w:rPr>
          <w:rFonts w:ascii="Arial" w:cs="Arial" w:eastAsia="Arial" w:hAnsi="Arial"/>
          <w:sz w:val="19"/>
          <w:szCs w:val="19"/>
          <w:b w:val="1"/>
          <w:bCs w:val="1"/>
          <w:color w:val="auto"/>
        </w:rPr>
        <w:t xml:space="preserve"> </w:t>
      </w:r>
      <w:r>
        <w:rPr>
          <w:rFonts w:ascii="Arial" w:cs="Arial" w:eastAsia="Arial" w:hAnsi="Arial"/>
          <w:sz w:val="19"/>
          <w:szCs w:val="19"/>
          <w:color w:val="auto"/>
        </w:rPr>
        <w:t>(“GM”) direct and indirect lobbying activities and expenditures to assess whether GM’s lobbying is consistent with its express goals and in the shareholders’ best interest.</w:t>
      </w:r>
    </w:p>
    <w:p>
      <w:pPr>
        <w:spacing w:after="0" w:line="93" w:lineRule="exact"/>
        <w:rPr>
          <w:sz w:val="20"/>
          <w:szCs w:val="20"/>
          <w:color w:val="auto"/>
        </w:rPr>
      </w:pPr>
    </w:p>
    <w:p>
      <w:pPr>
        <w:jc w:val="both"/>
        <w:ind w:left="160"/>
        <w:spacing w:after="0" w:line="239"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the shareholders of General Motors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(“GM”) request the preparation of a report, updated annually, disclosing:</w:t>
      </w:r>
    </w:p>
    <w:p>
      <w:pPr>
        <w:spacing w:after="0" w:line="59" w:lineRule="exact"/>
        <w:rPr>
          <w:sz w:val="20"/>
          <w:szCs w:val="20"/>
          <w:color w:val="auto"/>
        </w:rPr>
      </w:pPr>
    </w:p>
    <w:p>
      <w:pPr>
        <w:jc w:val="both"/>
        <w:ind w:left="560" w:right="20" w:hanging="393"/>
        <w:spacing w:after="0" w:line="230" w:lineRule="auto"/>
        <w:tabs>
          <w:tab w:leader="none" w:pos="5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Company policy and procedures governing lobbying, both direct and indirect, and grassroots lobbying communications.</w:t>
      </w:r>
    </w:p>
    <w:p>
      <w:pPr>
        <w:spacing w:after="0" w:line="60" w:lineRule="exact"/>
        <w:rPr>
          <w:rFonts w:ascii="Arial" w:cs="Arial" w:eastAsia="Arial" w:hAnsi="Arial"/>
          <w:sz w:val="20"/>
          <w:szCs w:val="20"/>
          <w:color w:val="auto"/>
        </w:rPr>
      </w:pPr>
    </w:p>
    <w:p>
      <w:pPr>
        <w:jc w:val="both"/>
        <w:ind w:left="560" w:hanging="393"/>
        <w:spacing w:after="0" w:line="228" w:lineRule="auto"/>
        <w:tabs>
          <w:tab w:leader="none" w:pos="5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Payments by GM used for (a) direct or indirect lobbying or (b) grassroots lobbying communications, in each case including the amount of the payment and the recipient.</w:t>
      </w:r>
    </w:p>
    <w:p>
      <w:pPr>
        <w:spacing w:after="0" w:line="62" w:lineRule="exact"/>
        <w:rPr>
          <w:rFonts w:ascii="Arial" w:cs="Arial" w:eastAsia="Arial" w:hAnsi="Arial"/>
          <w:sz w:val="20"/>
          <w:szCs w:val="20"/>
          <w:color w:val="auto"/>
        </w:rPr>
      </w:pPr>
    </w:p>
    <w:p>
      <w:pPr>
        <w:jc w:val="both"/>
        <w:ind w:left="560" w:hanging="393"/>
        <w:spacing w:after="0" w:line="230" w:lineRule="auto"/>
        <w:tabs>
          <w:tab w:leader="none" w:pos="56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Description of management’s decision-making process and the Board’s oversight for making payments described above.</w:t>
      </w:r>
    </w:p>
    <w:p>
      <w:pPr>
        <w:spacing w:after="0" w:line="114" w:lineRule="exact"/>
        <w:rPr>
          <w:sz w:val="20"/>
          <w:szCs w:val="20"/>
          <w:color w:val="auto"/>
        </w:rPr>
      </w:pPr>
    </w:p>
    <w:p>
      <w:pPr>
        <w:jc w:val="both"/>
        <w:ind w:left="160"/>
        <w:spacing w:after="0" w:line="223" w:lineRule="auto"/>
        <w:rPr>
          <w:sz w:val="20"/>
          <w:szCs w:val="20"/>
          <w:color w:val="auto"/>
        </w:rPr>
      </w:pPr>
      <w:r>
        <w:rPr>
          <w:rFonts w:ascii="Arial" w:cs="Arial" w:eastAsia="Arial" w:hAnsi="Arial"/>
          <w:sz w:val="20"/>
          <w:szCs w:val="20"/>
          <w:color w:val="auto"/>
        </w:rPr>
        <w:t>For purposes of this proposal, a “grassroots lobbying communication” is a communication directed to the general public that (a) refers to specific legislation or regulation,</w:t>
      </w:r>
    </w:p>
    <w:p>
      <w:pPr>
        <w:ind w:left="540" w:hanging="373"/>
        <w:spacing w:after="0" w:line="224" w:lineRule="auto"/>
        <w:tabs>
          <w:tab w:leader="none" w:pos="5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reflects a view on the legislation or regulation and</w:t>
      </w:r>
    </w:p>
    <w:p>
      <w:pPr>
        <w:jc w:val="both"/>
        <w:ind w:left="160" w:firstLine="7"/>
        <w:spacing w:after="0" w:line="228" w:lineRule="auto"/>
        <w:tabs>
          <w:tab w:leader="none" w:pos="47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encourages the recipient of the communication to take action with respect to the legislation or regulation. “Indirect lobbying” is lobbying engaged in by a trade association or other organization of which GM is a member.</w:t>
      </w:r>
    </w:p>
    <w:p>
      <w:pPr>
        <w:spacing w:after="0" w:line="129" w:lineRule="exact"/>
        <w:rPr>
          <w:sz w:val="20"/>
          <w:szCs w:val="20"/>
          <w:color w:val="auto"/>
        </w:rPr>
      </w:pPr>
    </w:p>
    <w:p>
      <w:pPr>
        <w:jc w:val="both"/>
        <w:ind w:left="160"/>
        <w:spacing w:after="0" w:line="230" w:lineRule="auto"/>
        <w:rPr>
          <w:sz w:val="20"/>
          <w:szCs w:val="20"/>
          <w:color w:val="auto"/>
        </w:rPr>
      </w:pPr>
      <w:r>
        <w:rPr>
          <w:rFonts w:ascii="Arial" w:cs="Arial" w:eastAsia="Arial" w:hAnsi="Arial"/>
          <w:sz w:val="20"/>
          <w:szCs w:val="20"/>
          <w:color w:val="auto"/>
        </w:rPr>
        <w:t>Both “direct and indirect lobbying” and “grassroots lobbying communications” include efforts at the local, state and federal levels.</w:t>
      </w:r>
    </w:p>
    <w:p>
      <w:pPr>
        <w:spacing w:after="0" w:line="128" w:lineRule="exact"/>
        <w:rPr>
          <w:sz w:val="20"/>
          <w:szCs w:val="20"/>
          <w:color w:val="auto"/>
        </w:rPr>
      </w:pPr>
    </w:p>
    <w:p>
      <w:pPr>
        <w:ind w:left="160" w:right="280"/>
        <w:spacing w:after="0" w:line="230" w:lineRule="auto"/>
        <w:rPr>
          <w:sz w:val="20"/>
          <w:szCs w:val="20"/>
          <w:color w:val="auto"/>
        </w:rPr>
      </w:pPr>
      <w:r>
        <w:rPr>
          <w:rFonts w:ascii="Arial" w:cs="Arial" w:eastAsia="Arial" w:hAnsi="Arial"/>
          <w:sz w:val="20"/>
          <w:szCs w:val="20"/>
          <w:color w:val="auto"/>
        </w:rPr>
        <w:t>The report shall be presented to the Governance and Corporate Responsibility Committee and posted on GM’s website.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Supporting Statement</w:t>
      </w:r>
    </w:p>
    <w:p>
      <w:pPr>
        <w:spacing w:after="0" w:line="155" w:lineRule="exact"/>
        <w:rPr>
          <w:sz w:val="20"/>
          <w:szCs w:val="20"/>
          <w:color w:val="auto"/>
        </w:rPr>
      </w:pPr>
    </w:p>
    <w:p>
      <w:pPr>
        <w:jc w:val="both"/>
        <w:ind w:left="7"/>
        <w:spacing w:after="0" w:line="226" w:lineRule="auto"/>
        <w:rPr>
          <w:sz w:val="20"/>
          <w:szCs w:val="20"/>
          <w:color w:val="auto"/>
        </w:rPr>
      </w:pPr>
      <w:r>
        <w:rPr>
          <w:rFonts w:ascii="Arial" w:cs="Arial" w:eastAsia="Arial" w:hAnsi="Arial"/>
          <w:sz w:val="20"/>
          <w:szCs w:val="20"/>
          <w:color w:val="auto"/>
        </w:rPr>
        <w:t>We encourage transparency in the use of GM’s corporate funds to influence legislation and regulation. GM spent $79,265,000 from 2010 – 2018 on federal lobbying. This does not include state lobbying expenditures in the 49 states where GM lobbies, but disclosure is uneven or absent.</w:t>
      </w:r>
      <w:r>
        <w:rPr>
          <w:rFonts w:ascii="Arial" w:cs="Arial" w:eastAsia="Arial" w:hAnsi="Arial"/>
          <w:sz w:val="16"/>
          <w:szCs w:val="16"/>
          <w:color w:val="auto"/>
        </w:rPr>
        <w:t>1</w:t>
      </w:r>
      <w:r>
        <w:rPr>
          <w:rFonts w:ascii="Arial" w:cs="Arial" w:eastAsia="Arial" w:hAnsi="Arial"/>
          <w:sz w:val="20"/>
          <w:szCs w:val="20"/>
          <w:color w:val="auto"/>
        </w:rPr>
        <w:t xml:space="preserve"> For example, GM spent $2,992,235 on lobbying in California from 2010 – 2018.</w:t>
      </w:r>
    </w:p>
    <w:p>
      <w:pPr>
        <w:spacing w:after="0" w:line="129" w:lineRule="exact"/>
        <w:rPr>
          <w:sz w:val="20"/>
          <w:szCs w:val="20"/>
          <w:color w:val="auto"/>
        </w:rPr>
      </w:pPr>
    </w:p>
    <w:p>
      <w:pPr>
        <w:jc w:val="both"/>
        <w:ind w:left="7"/>
        <w:spacing w:after="0" w:line="237" w:lineRule="auto"/>
        <w:rPr>
          <w:sz w:val="20"/>
          <w:szCs w:val="20"/>
          <w:color w:val="auto"/>
        </w:rPr>
      </w:pPr>
      <w:r>
        <w:rPr>
          <w:rFonts w:ascii="Arial" w:cs="Arial" w:eastAsia="Arial" w:hAnsi="Arial"/>
          <w:sz w:val="19"/>
          <w:szCs w:val="19"/>
          <w:color w:val="auto"/>
        </w:rPr>
        <w:t>GM belongs to the Business Roundtable, which is lobbying against the right of shareholders to file resolutions, and is a member of the Alliance of Automobile Manufacturers, which spent $16,320,000 on lobbying for 2017 and 2018. GM does not disclose its memberships in, or payments to, trade associations, or the amounts used for lobbying. GM discloses trade association payments used for political contributions, but not payments used for lobbying. This leaves a serious disclosure gap, as trade associations generally spend far more on lobbying than on political contributions.</w:t>
      </w:r>
    </w:p>
    <w:p>
      <w:pPr>
        <w:spacing w:after="0" w:line="116" w:lineRule="exact"/>
        <w:rPr>
          <w:sz w:val="20"/>
          <w:szCs w:val="20"/>
          <w:color w:val="auto"/>
        </w:rPr>
      </w:pPr>
    </w:p>
    <w:p>
      <w:pPr>
        <w:jc w:val="both"/>
        <w:ind w:left="7"/>
        <w:spacing w:after="0" w:line="225" w:lineRule="auto"/>
        <w:rPr>
          <w:sz w:val="20"/>
          <w:szCs w:val="20"/>
          <w:color w:val="auto"/>
        </w:rPr>
      </w:pPr>
      <w:r>
        <w:rPr>
          <w:rFonts w:ascii="Arial" w:cs="Arial" w:eastAsia="Arial" w:hAnsi="Arial"/>
          <w:sz w:val="20"/>
          <w:szCs w:val="20"/>
          <w:color w:val="auto"/>
        </w:rPr>
        <w:t>We are concerned that GM’s lack of lobbying disclosure presents significant reputational risk when it contradicts the company’s public positions. For example, GM claims it supports the Paris climate agreement, yet a 2019 InfluenceMap report found GM among the strongest opponents lobbying to undermine it.</w:t>
      </w:r>
      <w:r>
        <w:rPr>
          <w:rFonts w:ascii="Arial" w:cs="Arial" w:eastAsia="Arial" w:hAnsi="Arial"/>
          <w:sz w:val="16"/>
          <w:szCs w:val="16"/>
          <w:color w:val="auto"/>
        </w:rPr>
        <w:t>2</w:t>
      </w:r>
      <w:r>
        <w:rPr>
          <w:rFonts w:ascii="Arial" w:cs="Arial" w:eastAsia="Arial" w:hAnsi="Arial"/>
          <w:sz w:val="20"/>
          <w:szCs w:val="20"/>
          <w:color w:val="auto"/>
        </w:rPr>
        <w:t xml:space="preserve"> As shareholders, we believe that companies should ensure there is alignment between their own positions and their lobbying, including through trade associations.</w:t>
      </w:r>
    </w:p>
    <w:p>
      <w:pPr>
        <w:spacing w:after="0" w:line="133" w:lineRule="exact"/>
        <w:rPr>
          <w:sz w:val="20"/>
          <w:szCs w:val="20"/>
          <w:color w:val="auto"/>
        </w:rPr>
      </w:pPr>
    </w:p>
    <w:p>
      <w:pPr>
        <w:jc w:val="both"/>
        <w:ind w:left="7"/>
        <w:spacing w:after="0" w:line="226" w:lineRule="auto"/>
        <w:rPr>
          <w:sz w:val="20"/>
          <w:szCs w:val="20"/>
          <w:color w:val="auto"/>
        </w:rPr>
      </w:pPr>
      <w:r>
        <w:rPr>
          <w:rFonts w:ascii="Arial" w:cs="Arial" w:eastAsia="Arial" w:hAnsi="Arial"/>
          <w:sz w:val="20"/>
          <w:szCs w:val="20"/>
          <w:color w:val="auto"/>
        </w:rPr>
        <w:t>Investors participating in Climate Action 100+ representing $34 trillion in assets are asking companies to align their lobbying with the goals of the Paris Agreement. GM uses the Global Reporting Initiative (GRI) for sustainability reporting, yet fails to report “any differences between its lobbying positions and any stated policies, goals, or other public positions” under GRI Standard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3733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157" w:lineRule="exact"/>
        <w:rPr>
          <w:sz w:val="20"/>
          <w:szCs w:val="20"/>
          <w:color w:val="auto"/>
        </w:rPr>
      </w:pPr>
    </w:p>
    <w:p>
      <w:pPr>
        <w:ind w:left="127" w:right="100" w:hanging="127"/>
        <w:spacing w:after="0"/>
        <w:tabs>
          <w:tab w:leader="none" w:pos="127" w:val="left"/>
        </w:tabs>
        <w:numPr>
          <w:ilvl w:val="0"/>
          <w:numId w:val="147"/>
        </w:numPr>
        <w:rPr>
          <w:rFonts w:ascii="Arial" w:cs="Arial" w:eastAsia="Arial" w:hAnsi="Arial"/>
          <w:sz w:val="22"/>
          <w:szCs w:val="22"/>
          <w:color w:val="auto"/>
          <w:vertAlign w:val="superscript"/>
        </w:rPr>
      </w:pPr>
      <w:r>
        <w:rPr>
          <w:rFonts w:ascii="Arial" w:cs="Arial" w:eastAsia="Arial" w:hAnsi="Arial"/>
          <w:sz w:val="13"/>
          <w:szCs w:val="13"/>
          <w:color w:val="auto"/>
        </w:rPr>
        <w:t>https://publicintegrity.org/state-politics/amid-federal-gridlock-lobbying-rises-in-the-states/</w:t>
      </w:r>
    </w:p>
    <w:p>
      <w:pPr>
        <w:spacing w:after="0" w:line="68" w:lineRule="exact"/>
        <w:rPr>
          <w:sz w:val="20"/>
          <w:szCs w:val="20"/>
          <w:color w:val="auto"/>
        </w:rPr>
      </w:pPr>
    </w:p>
    <w:p>
      <w:pPr>
        <w:ind w:left="127" w:right="380" w:hanging="127"/>
        <w:spacing w:after="0" w:line="182" w:lineRule="auto"/>
        <w:tabs>
          <w:tab w:leader="none" w:pos="127"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https://www.theguardian.com/environment/2019/oct/10/exclusive-carmakers-opponents-climate-action-us-europe-emissions</w:t>
      </w:r>
    </w:p>
    <w:p>
      <w:pPr>
        <w:spacing w:after="0" w:line="401"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55"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96 </w:t>
      </w:r>
      <w:r>
        <w:rPr>
          <w:sz w:val="1"/>
          <w:szCs w:val="1"/>
          <w:color w:val="auto"/>
        </w:rPr>
        <w:drawing>
          <wp:inline distT="0" distB="0" distL="0" distR="0">
            <wp:extent cx="6793865" cy="10160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080"/>
          </w:cols>
          <w:pgMar w:left="320" w:top="456" w:right="49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A1DF"/>
        </w:rPr>
        <w:t xml:space="preserve">ITEM NO. 9 </w:t>
      </w:r>
      <w:r>
        <w:rPr>
          <w:rFonts w:ascii="Arial" w:cs="Arial" w:eastAsia="Arial" w:hAnsi="Arial"/>
          <w:sz w:val="14"/>
          <w:szCs w:val="14"/>
          <w:b w:val="1"/>
          <w:bCs w:val="1"/>
          <w:color w:val="0033A0"/>
        </w:rPr>
        <w:t>– SHAREHOLDER PROPOSAL REGARDING REPORT ON LOBBYING COMMUNICATIONS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72948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29755" cy="7294880"/>
                    </a:xfrm>
                    <a:prstGeom prst="rect">
                      <a:avLst/>
                    </a:prstGeom>
                    <a:noFill/>
                  </pic:spPr>
                </pic:pic>
              </a:graphicData>
            </a:graphic>
          </wp:anchor>
        </w:drawing>
      </w:r>
    </w:p>
    <w:p>
      <w:pPr>
        <w:spacing w:after="0" w:line="232" w:lineRule="exact"/>
        <w:rPr>
          <w:sz w:val="20"/>
          <w:szCs w:val="20"/>
          <w:color w:val="auto"/>
        </w:rPr>
      </w:pPr>
    </w:p>
    <w:p>
      <w:pPr>
        <w:ind w:left="420" w:right="300"/>
        <w:spacing w:after="0" w:line="281" w:lineRule="auto"/>
        <w:rPr>
          <w:sz w:val="20"/>
          <w:szCs w:val="20"/>
          <w:color w:val="auto"/>
        </w:rPr>
      </w:pPr>
      <w:r>
        <w:rPr>
          <w:rFonts w:ascii="Arial" w:cs="Arial" w:eastAsia="Arial" w:hAnsi="Arial"/>
          <w:sz w:val="25"/>
          <w:szCs w:val="25"/>
          <w:b w:val="1"/>
          <w:bCs w:val="1"/>
          <w:color w:val="0033A0"/>
        </w:rPr>
        <w:t xml:space="preserve">Your Board of Directors recommends a vote </w:t>
      </w:r>
      <w:r>
        <w:rPr>
          <w:rFonts w:ascii="Arial" w:cs="Arial" w:eastAsia="Arial" w:hAnsi="Arial"/>
          <w:sz w:val="25"/>
          <w:szCs w:val="25"/>
          <w:b w:val="1"/>
          <w:bCs w:val="1"/>
          <w:u w:val="single" w:color="auto"/>
          <w:color w:val="00A1DF"/>
        </w:rPr>
        <w:t>AGAINST</w:t>
      </w:r>
      <w:r>
        <w:rPr>
          <w:rFonts w:ascii="Arial" w:cs="Arial" w:eastAsia="Arial" w:hAnsi="Arial"/>
          <w:sz w:val="25"/>
          <w:szCs w:val="25"/>
          <w:b w:val="1"/>
          <w:bCs w:val="1"/>
          <w:color w:val="0033A0"/>
        </w:rPr>
        <w:t xml:space="preserve"> this shareholder proposal for the following reasons:</w:t>
      </w:r>
    </w:p>
    <w:p>
      <w:pPr>
        <w:sectPr>
          <w:pgSz w:w="11900" w:h="16838" w:orient="portrait"/>
          <w:cols w:equalWidth="0" w:num="1">
            <w:col w:w="11100"/>
          </w:cols>
          <w:pgMar w:left="320" w:top="456" w:right="479" w:bottom="1440" w:gutter="0" w:footer="0" w:header="0"/>
        </w:sectPr>
      </w:pPr>
    </w:p>
    <w:p>
      <w:pPr>
        <w:spacing w:after="0" w:line="286" w:lineRule="exact"/>
        <w:rPr>
          <w:sz w:val="20"/>
          <w:szCs w:val="20"/>
          <w:color w:val="auto"/>
        </w:rPr>
      </w:pPr>
    </w:p>
    <w:p>
      <w:pPr>
        <w:jc w:val="both"/>
        <w:ind w:left="380"/>
        <w:spacing w:after="0" w:line="281" w:lineRule="auto"/>
        <w:rPr>
          <w:sz w:val="20"/>
          <w:szCs w:val="20"/>
          <w:color w:val="auto"/>
        </w:rPr>
      </w:pPr>
      <w:r>
        <w:rPr>
          <w:rFonts w:ascii="Arial" w:cs="Arial" w:eastAsia="Arial" w:hAnsi="Arial"/>
          <w:sz w:val="21"/>
          <w:szCs w:val="21"/>
          <w:b w:val="1"/>
          <w:bCs w:val="1"/>
          <w:i w:val="1"/>
          <w:iCs w:val="1"/>
          <w:color w:val="auto"/>
        </w:rPr>
        <w:t>GM already provides comprehensive political and lobbying disclosure.</w:t>
      </w:r>
    </w:p>
    <w:p>
      <w:pPr>
        <w:spacing w:after="0" w:line="92" w:lineRule="exact"/>
        <w:rPr>
          <w:sz w:val="20"/>
          <w:szCs w:val="20"/>
          <w:color w:val="auto"/>
        </w:rPr>
      </w:pPr>
    </w:p>
    <w:p>
      <w:pPr>
        <w:jc w:val="both"/>
        <w:ind w:left="380"/>
        <w:spacing w:after="0" w:line="225" w:lineRule="auto"/>
        <w:rPr>
          <w:sz w:val="20"/>
          <w:szCs w:val="20"/>
          <w:color w:val="auto"/>
        </w:rPr>
      </w:pPr>
      <w:r>
        <w:rPr>
          <w:rFonts w:ascii="Arial" w:cs="Arial" w:eastAsia="Arial" w:hAnsi="Arial"/>
          <w:sz w:val="20"/>
          <w:szCs w:val="20"/>
          <w:color w:val="auto"/>
        </w:rPr>
        <w:t xml:space="preserve">As part of our overall effort to promote political transparency and accountability, GM publishes an annual voluntary report of political contributions (available for each of the past five years at </w:t>
      </w:r>
      <w:r>
        <w:rPr>
          <w:rFonts w:ascii="Arial" w:cs="Arial" w:eastAsia="Arial" w:hAnsi="Arial"/>
          <w:sz w:val="20"/>
          <w:szCs w:val="20"/>
          <w:i w:val="1"/>
          <w:iCs w:val="1"/>
          <w:color w:val="00A1DF"/>
        </w:rPr>
        <w:t>investor.gm.com/resources</w:t>
      </w:r>
      <w:r>
        <w:rPr>
          <w:rFonts w:ascii="Arial" w:cs="Arial" w:eastAsia="Arial" w:hAnsi="Arial"/>
          <w:sz w:val="20"/>
          <w:szCs w:val="20"/>
          <w:color w:val="auto"/>
        </w:rPr>
        <w:t>). Included in this report are (i) contributions to section 527 organizations; (ii) contributions to individual candidates for state and local office; (iii) portions of dues or similar payments to 501(c)(6) trade associations and section 501(c)(4) organizations to the extent the dues or other payments equal or exceed $50,000 and are attributable to political purposes; and (iv) a link to all contributions by GM.</w:t>
      </w:r>
    </w:p>
    <w:p>
      <w:pPr>
        <w:spacing w:after="0" w:line="114" w:lineRule="exact"/>
        <w:rPr>
          <w:sz w:val="20"/>
          <w:szCs w:val="20"/>
          <w:color w:val="auto"/>
        </w:rPr>
      </w:pPr>
    </w:p>
    <w:p>
      <w:pPr>
        <w:jc w:val="both"/>
        <w:ind w:left="380"/>
        <w:spacing w:after="0" w:line="238" w:lineRule="auto"/>
        <w:rPr>
          <w:sz w:val="20"/>
          <w:szCs w:val="20"/>
          <w:color w:val="auto"/>
        </w:rPr>
      </w:pPr>
      <w:r>
        <w:rPr>
          <w:rFonts w:ascii="Arial" w:cs="Arial" w:eastAsia="Arial" w:hAnsi="Arial"/>
          <w:sz w:val="19"/>
          <w:szCs w:val="19"/>
          <w:color w:val="auto"/>
        </w:rPr>
        <w:t>In addition, GM files publicly available federal Lobbying Disclosure Act Reports each quarter, which disclose GM’s lobbying expenditures, describe legislation and general issues that were the topic of communication, and identify the individual who lobbied on behalf of GM. GM also files similar periodic reports with state agencies.</w:t>
      </w:r>
    </w:p>
    <w:p>
      <w:pPr>
        <w:spacing w:after="0" w:line="102" w:lineRule="exact"/>
        <w:rPr>
          <w:sz w:val="20"/>
          <w:szCs w:val="20"/>
          <w:color w:val="auto"/>
        </w:rPr>
      </w:pPr>
    </w:p>
    <w:p>
      <w:pPr>
        <w:jc w:val="both"/>
        <w:ind w:left="380"/>
        <w:spacing w:after="0" w:line="260" w:lineRule="auto"/>
        <w:rPr>
          <w:sz w:val="20"/>
          <w:szCs w:val="20"/>
          <w:color w:val="auto"/>
        </w:rPr>
      </w:pPr>
      <w:r>
        <w:rPr>
          <w:rFonts w:ascii="Arial" w:cs="Arial" w:eastAsia="Arial" w:hAnsi="Arial"/>
          <w:sz w:val="21"/>
          <w:szCs w:val="21"/>
          <w:b w:val="1"/>
          <w:bCs w:val="1"/>
          <w:i w:val="1"/>
          <w:iCs w:val="1"/>
          <w:color w:val="auto"/>
        </w:rPr>
        <w:t>The 2019 CPA-Zicklin Index of Corporate Political Disclosure and Accountability ranked GM’s lobbying disclosure in the First Tier.</w:t>
      </w:r>
    </w:p>
    <w:p>
      <w:pPr>
        <w:spacing w:after="0" w:line="113" w:lineRule="exact"/>
        <w:rPr>
          <w:sz w:val="20"/>
          <w:szCs w:val="20"/>
          <w:color w:val="auto"/>
        </w:rPr>
      </w:pPr>
    </w:p>
    <w:p>
      <w:pPr>
        <w:jc w:val="both"/>
        <w:ind w:left="380"/>
        <w:spacing w:after="0" w:line="226" w:lineRule="auto"/>
        <w:rPr>
          <w:sz w:val="20"/>
          <w:szCs w:val="20"/>
          <w:color w:val="auto"/>
        </w:rPr>
      </w:pPr>
      <w:r>
        <w:rPr>
          <w:rFonts w:ascii="Arial" w:cs="Arial" w:eastAsia="Arial" w:hAnsi="Arial"/>
          <w:sz w:val="20"/>
          <w:szCs w:val="20"/>
          <w:color w:val="auto"/>
        </w:rPr>
        <w:t>In 2019, the Center for Political Accountability’s Zicklin Index of Corporate Political Accountability and Disclosure, which benchmarks the political disclosure and accountability policies and practices of leading U.S. public companies, has again recognized the quality of our disclosure and ranked GM among the First Tier of S&amp;P 500 companies.</w:t>
      </w:r>
    </w:p>
    <w:p>
      <w:pPr>
        <w:spacing w:after="0" w:line="87" w:lineRule="exact"/>
        <w:rPr>
          <w:sz w:val="20"/>
          <w:szCs w:val="20"/>
          <w:color w:val="auto"/>
        </w:rPr>
      </w:pPr>
    </w:p>
    <w:p>
      <w:pPr>
        <w:jc w:val="both"/>
        <w:ind w:left="380"/>
        <w:spacing w:after="0" w:line="281" w:lineRule="auto"/>
        <w:rPr>
          <w:sz w:val="20"/>
          <w:szCs w:val="20"/>
          <w:color w:val="auto"/>
        </w:rPr>
      </w:pPr>
      <w:r>
        <w:rPr>
          <w:rFonts w:ascii="Arial" w:cs="Arial" w:eastAsia="Arial" w:hAnsi="Arial"/>
          <w:sz w:val="21"/>
          <w:szCs w:val="21"/>
          <w:b w:val="1"/>
          <w:bCs w:val="1"/>
          <w:i w:val="1"/>
          <w:iCs w:val="1"/>
          <w:color w:val="auto"/>
        </w:rPr>
        <w:t>GM protects and promotes shareholder value by participating in the political process.</w:t>
      </w:r>
    </w:p>
    <w:p>
      <w:pPr>
        <w:spacing w:after="0" w:line="92" w:lineRule="exact"/>
        <w:rPr>
          <w:sz w:val="20"/>
          <w:szCs w:val="20"/>
          <w:color w:val="auto"/>
        </w:rPr>
      </w:pPr>
    </w:p>
    <w:p>
      <w:pPr>
        <w:jc w:val="both"/>
        <w:ind w:left="380"/>
        <w:spacing w:after="0" w:line="225" w:lineRule="auto"/>
        <w:rPr>
          <w:sz w:val="20"/>
          <w:szCs w:val="20"/>
          <w:color w:val="auto"/>
        </w:rPr>
      </w:pPr>
      <w:r>
        <w:rPr>
          <w:rFonts w:ascii="Arial" w:cs="Arial" w:eastAsia="Arial" w:hAnsi="Arial"/>
          <w:sz w:val="20"/>
          <w:szCs w:val="20"/>
          <w:color w:val="auto"/>
        </w:rPr>
        <w:t>Public policy decisions can significantly affect GM’s strategies, operations, and, ultimately, shareholder value. To protect shareholder value, GM exercises its fundamental right and responsibility to participate in the legislative, regulatory, and political processes to ensure decision makers are informed by our expertise and insights when considering policies that impact GM. GM does this by making political contributions to candidates and entities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366395</wp:posOffset>
            </wp:positionV>
            <wp:extent cx="6793865" cy="1016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right="220"/>
        <w:spacing w:after="0" w:line="227" w:lineRule="auto"/>
        <w:rPr>
          <w:sz w:val="20"/>
          <w:szCs w:val="20"/>
          <w:color w:val="auto"/>
        </w:rPr>
      </w:pPr>
      <w:r>
        <w:rPr>
          <w:rFonts w:ascii="Arial" w:cs="Arial" w:eastAsia="Arial" w:hAnsi="Arial"/>
          <w:sz w:val="20"/>
          <w:szCs w:val="20"/>
          <w:color w:val="auto"/>
        </w:rPr>
        <w:t>support our industry and our vision for the future of mobility, by engaging in direct and indirect lobbying, and by participating in various business and policy organizations that advocate positions designed to support GM’s business and enhance long-term shareholder value.</w:t>
      </w:r>
    </w:p>
    <w:p>
      <w:pPr>
        <w:spacing w:after="0" w:line="101" w:lineRule="exact"/>
        <w:rPr>
          <w:sz w:val="20"/>
          <w:szCs w:val="20"/>
          <w:color w:val="auto"/>
        </w:rPr>
      </w:pPr>
    </w:p>
    <w:p>
      <w:pPr>
        <w:jc w:val="both"/>
        <w:ind w:right="240"/>
        <w:spacing w:after="0" w:line="281" w:lineRule="auto"/>
        <w:rPr>
          <w:sz w:val="20"/>
          <w:szCs w:val="20"/>
          <w:color w:val="auto"/>
        </w:rPr>
      </w:pPr>
      <w:r>
        <w:rPr>
          <w:rFonts w:ascii="Arial" w:cs="Arial" w:eastAsia="Arial" w:hAnsi="Arial"/>
          <w:sz w:val="21"/>
          <w:szCs w:val="21"/>
          <w:b w:val="1"/>
          <w:bCs w:val="1"/>
          <w:i w:val="1"/>
          <w:iCs w:val="1"/>
          <w:color w:val="auto"/>
        </w:rPr>
        <w:t>GM’s political activities are subject to thorough review and independent oversight.</w:t>
      </w:r>
    </w:p>
    <w:p>
      <w:pPr>
        <w:spacing w:after="0" w:line="79" w:lineRule="exact"/>
        <w:rPr>
          <w:sz w:val="20"/>
          <w:szCs w:val="20"/>
          <w:color w:val="auto"/>
        </w:rPr>
      </w:pPr>
    </w:p>
    <w:p>
      <w:pPr>
        <w:jc w:val="both"/>
        <w:ind w:right="220"/>
        <w:spacing w:after="0" w:line="225" w:lineRule="auto"/>
        <w:rPr>
          <w:sz w:val="20"/>
          <w:szCs w:val="20"/>
          <w:color w:val="auto"/>
        </w:rPr>
      </w:pPr>
      <w:r>
        <w:rPr>
          <w:rFonts w:ascii="Arial" w:cs="Arial" w:eastAsia="Arial" w:hAnsi="Arial"/>
          <w:sz w:val="20"/>
          <w:szCs w:val="20"/>
          <w:color w:val="auto"/>
        </w:rPr>
        <w:t>GM participation in the political process is subject to best-in-class corporate governance practices. All corporate political contributions are centrally controlled, budgeted, and reviewed for compliance with the law and consistency with GM’s policies and strategic goals. At least annually, management reviews with the Governance and Corporate Responsibility Committee all political contributions, including those made by GM PAC and various GM state political action committees.</w:t>
      </w:r>
    </w:p>
    <w:p>
      <w:pPr>
        <w:spacing w:after="0" w:line="104" w:lineRule="exact"/>
        <w:rPr>
          <w:sz w:val="20"/>
          <w:szCs w:val="20"/>
          <w:color w:val="auto"/>
        </w:rPr>
      </w:pPr>
    </w:p>
    <w:p>
      <w:pPr>
        <w:jc w:val="both"/>
        <w:ind w:right="240"/>
        <w:spacing w:after="0" w:line="281" w:lineRule="auto"/>
        <w:rPr>
          <w:sz w:val="20"/>
          <w:szCs w:val="20"/>
          <w:color w:val="auto"/>
        </w:rPr>
      </w:pPr>
      <w:r>
        <w:rPr>
          <w:rFonts w:ascii="Arial" w:cs="Arial" w:eastAsia="Arial" w:hAnsi="Arial"/>
          <w:sz w:val="21"/>
          <w:szCs w:val="21"/>
          <w:b w:val="1"/>
          <w:bCs w:val="1"/>
          <w:i w:val="1"/>
          <w:iCs w:val="1"/>
          <w:color w:val="auto"/>
        </w:rPr>
        <w:t>GM believes that climate change is real and advocates for climate action.</w:t>
      </w:r>
    </w:p>
    <w:p>
      <w:pPr>
        <w:spacing w:after="0" w:line="92" w:lineRule="exact"/>
        <w:rPr>
          <w:sz w:val="20"/>
          <w:szCs w:val="20"/>
          <w:color w:val="auto"/>
        </w:rPr>
      </w:pPr>
    </w:p>
    <w:p>
      <w:pPr>
        <w:jc w:val="both"/>
        <w:ind w:right="220"/>
        <w:spacing w:after="0" w:line="226" w:lineRule="auto"/>
        <w:rPr>
          <w:sz w:val="20"/>
          <w:szCs w:val="20"/>
          <w:color w:val="auto"/>
        </w:rPr>
      </w:pPr>
      <w:r>
        <w:rPr>
          <w:rFonts w:ascii="Arial" w:cs="Arial" w:eastAsia="Arial" w:hAnsi="Arial"/>
          <w:sz w:val="20"/>
          <w:szCs w:val="20"/>
          <w:color w:val="auto"/>
        </w:rPr>
        <w:t>GM believes the best way to remove automobile emissions from the environmental equation is an all-electric, zero emissions future on a national and global level. That is why GM has proposed a National Zero Emissions Vehicle program that will help accelerate our transition to EVs. If we want true electrification across the country – which we do – we need the infrastructure, education, and incentive programs all working together.</w:t>
      </w:r>
    </w:p>
    <w:p>
      <w:pPr>
        <w:spacing w:after="0" w:line="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Additional lobbying disclosure is unnecessary.</w:t>
      </w:r>
    </w:p>
    <w:p>
      <w:pPr>
        <w:spacing w:after="0" w:line="175" w:lineRule="exact"/>
        <w:rPr>
          <w:sz w:val="20"/>
          <w:szCs w:val="20"/>
          <w:color w:val="auto"/>
        </w:rPr>
      </w:pPr>
    </w:p>
    <w:p>
      <w:pPr>
        <w:jc w:val="both"/>
        <w:ind w:right="220"/>
        <w:spacing w:after="0" w:line="228" w:lineRule="auto"/>
        <w:rPr>
          <w:sz w:val="20"/>
          <w:szCs w:val="20"/>
          <w:color w:val="auto"/>
        </w:rPr>
      </w:pPr>
      <w:r>
        <w:rPr>
          <w:rFonts w:ascii="Arial" w:cs="Arial" w:eastAsia="Arial" w:hAnsi="Arial"/>
          <w:sz w:val="20"/>
          <w:szCs w:val="20"/>
          <w:color w:val="auto"/>
        </w:rPr>
        <w:t>Your Board believes GM’s lobbying activities are transparent and the adoption of this proposal is unnecessary given the information that is already publicly available.</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0033A0"/>
        </w:rPr>
        <w:t>Learn More</w:t>
      </w:r>
    </w:p>
    <w:p>
      <w:pPr>
        <w:spacing w:after="0" w:line="255" w:lineRule="exact"/>
        <w:rPr>
          <w:sz w:val="20"/>
          <w:szCs w:val="20"/>
          <w:color w:val="auto"/>
        </w:rPr>
      </w:pPr>
    </w:p>
    <w:p>
      <w:pPr>
        <w:jc w:val="both"/>
        <w:ind w:left="360" w:right="300"/>
        <w:spacing w:after="0" w:line="238" w:lineRule="auto"/>
        <w:rPr>
          <w:sz w:val="20"/>
          <w:szCs w:val="20"/>
          <w:color w:val="auto"/>
        </w:rPr>
      </w:pPr>
      <w:r>
        <w:rPr>
          <w:rFonts w:ascii="Arial" w:cs="Arial" w:eastAsia="Arial" w:hAnsi="Arial"/>
          <w:sz w:val="19"/>
          <w:szCs w:val="19"/>
          <w:color w:val="auto"/>
        </w:rPr>
        <w:t>See “Corporate Political Contributions and Lobbying Expenditures” on page 28 of this Proxy Statement for more on the Board’s oversight of GM’s lobbying activities and “Climate Change Risk Oversight” on page 24 of this Proxy Statement for a discussion of GM’s work to manage the impacts of climate change.</w:t>
      </w:r>
    </w:p>
    <w:p>
      <w:pPr>
        <w:spacing w:after="0" w:line="385" w:lineRule="exact"/>
        <w:rPr>
          <w:sz w:val="20"/>
          <w:szCs w:val="20"/>
          <w:color w:val="auto"/>
        </w:rPr>
      </w:pPr>
    </w:p>
    <w:p>
      <w:pPr>
        <w:sectPr>
          <w:pgSz w:w="11900" w:h="16838" w:orient="portrait"/>
          <w:cols w:equalWidth="0" w:num="2">
            <w:col w:w="5400" w:space="340"/>
            <w:col w:w="5360"/>
          </w:cols>
          <w:pgMar w:left="320" w:top="456" w:right="479" w:bottom="1440" w:gutter="0" w:footer="0" w:header="0"/>
          <w:type w:val="continuous"/>
        </w:sectPr>
      </w:pPr>
    </w:p>
    <w:p>
      <w:pPr>
        <w:spacing w:after="0" w:line="382" w:lineRule="exact"/>
        <w:rPr>
          <w:sz w:val="20"/>
          <w:szCs w:val="20"/>
          <w:color w:val="auto"/>
        </w:rPr>
      </w:pPr>
    </w:p>
    <w:p>
      <w:pPr>
        <w:ind w:left="10940"/>
        <w:spacing w:after="0"/>
        <w:rPr>
          <w:sz w:val="20"/>
          <w:szCs w:val="20"/>
          <w:color w:val="auto"/>
        </w:rPr>
      </w:pPr>
      <w:r>
        <w:rPr>
          <w:rFonts w:ascii="Arial" w:cs="Arial" w:eastAsia="Arial" w:hAnsi="Arial"/>
          <w:sz w:val="14"/>
          <w:szCs w:val="14"/>
          <w:color w:val="0033A0"/>
        </w:rPr>
        <w:t>97</w:t>
      </w:r>
    </w:p>
    <w:p>
      <w:pPr>
        <w:sectPr>
          <w:pgSz w:w="11900" w:h="16838" w:orient="portrait"/>
          <w:cols w:equalWidth="0" w:num="1">
            <w:col w:w="11100"/>
          </w:cols>
          <w:pgMar w:left="320" w:top="456" w:right="47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60"/>
        <w:spacing w:after="0"/>
        <w:rPr>
          <w:sz w:val="20"/>
          <w:szCs w:val="20"/>
          <w:color w:val="auto"/>
        </w:rPr>
      </w:pPr>
      <w:r>
        <w:rPr>
          <w:rFonts w:ascii="Arial" w:cs="Arial" w:eastAsia="Arial" w:hAnsi="Arial"/>
          <w:sz w:val="37"/>
          <w:szCs w:val="37"/>
          <w:color w:val="0033A0"/>
        </w:rPr>
        <w:t>GENERAL INFORMATION ABOUT THE ANNUAL MEETING</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Voting and Meeting Information</w:t>
      </w:r>
    </w:p>
    <w:p>
      <w:pPr>
        <w:spacing w:after="0" w:line="128" w:lineRule="exact"/>
        <w:rPr>
          <w:sz w:val="20"/>
          <w:szCs w:val="20"/>
          <w:color w:val="auto"/>
        </w:rPr>
      </w:pPr>
    </w:p>
    <w:p>
      <w:pPr>
        <w:ind w:left="700" w:hanging="533"/>
        <w:spacing w:after="0"/>
        <w:tabs>
          <w:tab w:leader="none" w:pos="700" w:val="left"/>
        </w:tabs>
        <w:numPr>
          <w:ilvl w:val="0"/>
          <w:numId w:val="149"/>
        </w:numPr>
        <w:rPr>
          <w:rFonts w:ascii="Arial" w:cs="Arial" w:eastAsia="Arial" w:hAnsi="Arial"/>
          <w:sz w:val="25"/>
          <w:szCs w:val="25"/>
          <w:color w:val="0033A0"/>
        </w:rPr>
      </w:pPr>
      <w:r>
        <w:rPr>
          <w:rFonts w:ascii="Arial" w:cs="Arial" w:eastAsia="Arial" w:hAnsi="Arial"/>
          <w:sz w:val="25"/>
          <w:szCs w:val="25"/>
          <w:color w:val="auto"/>
        </w:rPr>
        <w:t>Board Recommendations and Vote Requirements*</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196"/>
        </w:trPr>
        <w:tc>
          <w:tcPr>
            <w:tcW w:w="860" w:type="dxa"/>
            <w:vAlign w:val="bottom"/>
            <w:tcBorders>
              <w:top w:val="single" w:sz="8" w:color="00A1DF"/>
              <w:left w:val="single" w:sz="8" w:color="00A1DF"/>
            </w:tcBorders>
          </w:tcPr>
          <w:p>
            <w:pPr>
              <w:spacing w:after="0"/>
              <w:rPr>
                <w:sz w:val="17"/>
                <w:szCs w:val="17"/>
                <w:color w:val="auto"/>
              </w:rPr>
            </w:pPr>
          </w:p>
        </w:tc>
        <w:tc>
          <w:tcPr>
            <w:tcW w:w="3120" w:type="dxa"/>
            <w:vAlign w:val="bottom"/>
            <w:tcBorders>
              <w:top w:val="single" w:sz="8" w:color="00A1DF"/>
            </w:tcBorders>
          </w:tcPr>
          <w:p>
            <w:pPr>
              <w:spacing w:after="0"/>
              <w:rPr>
                <w:sz w:val="17"/>
                <w:szCs w:val="17"/>
                <w:color w:val="auto"/>
              </w:rPr>
            </w:pPr>
          </w:p>
        </w:tc>
        <w:tc>
          <w:tcPr>
            <w:tcW w:w="1480" w:type="dxa"/>
            <w:vAlign w:val="bottom"/>
            <w:tcBorders>
              <w:top w:val="single" w:sz="8" w:color="00A1DF"/>
            </w:tcBorders>
          </w:tcPr>
          <w:p>
            <w:pPr>
              <w:spacing w:after="0"/>
              <w:rPr>
                <w:sz w:val="17"/>
                <w:szCs w:val="17"/>
                <w:color w:val="auto"/>
              </w:rPr>
            </w:pPr>
          </w:p>
        </w:tc>
        <w:tc>
          <w:tcPr>
            <w:tcW w:w="3240" w:type="dxa"/>
            <w:vAlign w:val="bottom"/>
            <w:tcBorders>
              <w:top w:val="single" w:sz="8" w:color="00A1DF"/>
            </w:tcBorders>
          </w:tcPr>
          <w:p>
            <w:pPr>
              <w:spacing w:after="0"/>
              <w:rPr>
                <w:sz w:val="17"/>
                <w:szCs w:val="17"/>
                <w:color w:val="auto"/>
              </w:rPr>
            </w:pPr>
          </w:p>
        </w:tc>
        <w:tc>
          <w:tcPr>
            <w:tcW w:w="1060" w:type="dxa"/>
            <w:vAlign w:val="bottom"/>
            <w:tcBorders>
              <w:top w:val="single" w:sz="8" w:color="00A1DF"/>
            </w:tcBorders>
          </w:tcPr>
          <w:p>
            <w:pPr>
              <w:spacing w:after="0"/>
              <w:rPr>
                <w:sz w:val="17"/>
                <w:szCs w:val="17"/>
                <w:color w:val="auto"/>
              </w:rPr>
            </w:pPr>
          </w:p>
        </w:tc>
        <w:tc>
          <w:tcPr>
            <w:tcW w:w="1180" w:type="dxa"/>
            <w:vAlign w:val="bottom"/>
            <w:tcBorders>
              <w:top w:val="single" w:sz="8" w:color="00A1DF"/>
              <w:right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Effect of</w:t>
            </w:r>
          </w:p>
        </w:tc>
        <w:tc>
          <w:tcPr>
            <w:tcW w:w="0" w:type="dxa"/>
            <w:vAlign w:val="bottom"/>
          </w:tcPr>
          <w:p>
            <w:pPr>
              <w:spacing w:after="0"/>
              <w:rPr>
                <w:sz w:val="1"/>
                <w:szCs w:val="1"/>
                <w:color w:val="auto"/>
              </w:rPr>
            </w:pPr>
          </w:p>
        </w:tc>
      </w:tr>
      <w:tr>
        <w:trPr>
          <w:trHeight w:val="187"/>
        </w:trPr>
        <w:tc>
          <w:tcPr>
            <w:tcW w:w="860" w:type="dxa"/>
            <w:vAlign w:val="bottom"/>
            <w:tcBorders>
              <w:left w:val="single" w:sz="8" w:color="00A1DF"/>
            </w:tcBorders>
          </w:tcPr>
          <w:p>
            <w:pPr>
              <w:ind w:left="200"/>
              <w:spacing w:after="0"/>
              <w:rPr>
                <w:sz w:val="20"/>
                <w:szCs w:val="20"/>
                <w:color w:val="auto"/>
              </w:rPr>
            </w:pPr>
            <w:r>
              <w:rPr>
                <w:rFonts w:ascii="Arial" w:cs="Arial" w:eastAsia="Arial" w:hAnsi="Arial"/>
                <w:sz w:val="16"/>
                <w:szCs w:val="16"/>
                <w:b w:val="1"/>
                <w:bCs w:val="1"/>
                <w:color w:val="00A1DF"/>
              </w:rPr>
              <w:t>Agenda</w:t>
            </w:r>
          </w:p>
        </w:tc>
        <w:tc>
          <w:tcPr>
            <w:tcW w:w="3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00A1DF"/>
                <w:w w:val="99"/>
              </w:rPr>
              <w:t>Board</w:t>
            </w:r>
          </w:p>
        </w:tc>
        <w:tc>
          <w:tcPr>
            <w:tcW w:w="3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00A1DF"/>
                <w:w w:val="99"/>
              </w:rPr>
              <w:t>Effect of</w:t>
            </w:r>
          </w:p>
        </w:tc>
        <w:tc>
          <w:tcPr>
            <w:tcW w:w="1180" w:type="dxa"/>
            <w:vAlign w:val="bottom"/>
            <w:tcBorders>
              <w:right w:val="single" w:sz="8" w:color="00A1DF"/>
            </w:tcBorders>
          </w:tcPr>
          <w:p>
            <w:pPr>
              <w:jc w:val="center"/>
              <w:spacing w:after="0"/>
              <w:rPr>
                <w:sz w:val="20"/>
                <w:szCs w:val="20"/>
                <w:color w:val="auto"/>
              </w:rPr>
            </w:pPr>
            <w:r>
              <w:rPr>
                <w:rFonts w:ascii="Arial" w:cs="Arial" w:eastAsia="Arial" w:hAnsi="Arial"/>
                <w:sz w:val="16"/>
                <w:szCs w:val="16"/>
                <w:b w:val="1"/>
                <w:bCs w:val="1"/>
                <w:color w:val="00A1DF"/>
              </w:rPr>
              <w:t>Broker</w:t>
            </w:r>
          </w:p>
        </w:tc>
        <w:tc>
          <w:tcPr>
            <w:tcW w:w="0" w:type="dxa"/>
            <w:vAlign w:val="bottom"/>
          </w:tcPr>
          <w:p>
            <w:pPr>
              <w:spacing w:after="0"/>
              <w:rPr>
                <w:sz w:val="1"/>
                <w:szCs w:val="1"/>
                <w:color w:val="auto"/>
              </w:rPr>
            </w:pPr>
          </w:p>
        </w:tc>
      </w:tr>
      <w:tr>
        <w:trPr>
          <w:trHeight w:val="219"/>
        </w:trPr>
        <w:tc>
          <w:tcPr>
            <w:tcW w:w="860" w:type="dxa"/>
            <w:vAlign w:val="bottom"/>
            <w:tcBorders>
              <w:left w:val="single" w:sz="8" w:color="00A1DF"/>
              <w:bottom w:val="single" w:sz="8" w:color="00A1DF"/>
            </w:tcBorders>
          </w:tcPr>
          <w:p>
            <w:pPr>
              <w:jc w:val="center"/>
              <w:ind w:left="100"/>
              <w:spacing w:after="0"/>
              <w:rPr>
                <w:sz w:val="20"/>
                <w:szCs w:val="20"/>
                <w:color w:val="auto"/>
              </w:rPr>
            </w:pPr>
            <w:r>
              <w:rPr>
                <w:rFonts w:ascii="Arial" w:cs="Arial" w:eastAsia="Arial" w:hAnsi="Arial"/>
                <w:sz w:val="16"/>
                <w:szCs w:val="16"/>
                <w:b w:val="1"/>
                <w:bCs w:val="1"/>
                <w:color w:val="00A1DF"/>
                <w:w w:val="97"/>
              </w:rPr>
              <w:t>Item</w:t>
            </w:r>
          </w:p>
        </w:tc>
        <w:tc>
          <w:tcPr>
            <w:tcW w:w="3120" w:type="dxa"/>
            <w:vAlign w:val="bottom"/>
            <w:tcBorders>
              <w:bottom w:val="single" w:sz="8" w:color="00A1DF"/>
            </w:tcBorders>
          </w:tcPr>
          <w:p>
            <w:pPr>
              <w:ind w:left="80"/>
              <w:spacing w:after="0"/>
              <w:rPr>
                <w:sz w:val="20"/>
                <w:szCs w:val="20"/>
                <w:color w:val="auto"/>
              </w:rPr>
            </w:pPr>
            <w:r>
              <w:rPr>
                <w:rFonts w:ascii="Arial" w:cs="Arial" w:eastAsia="Arial" w:hAnsi="Arial"/>
                <w:sz w:val="16"/>
                <w:szCs w:val="16"/>
                <w:b w:val="1"/>
                <w:bCs w:val="1"/>
                <w:color w:val="00A1DF"/>
              </w:rPr>
              <w:t>Description</w:t>
            </w:r>
          </w:p>
        </w:tc>
        <w:tc>
          <w:tcPr>
            <w:tcW w:w="148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Recommendation</w:t>
            </w:r>
          </w:p>
        </w:tc>
        <w:tc>
          <w:tcPr>
            <w:tcW w:w="3240" w:type="dxa"/>
            <w:vAlign w:val="bottom"/>
            <w:tcBorders>
              <w:bottom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Vote Requirement for Approval</w:t>
            </w:r>
          </w:p>
        </w:tc>
        <w:tc>
          <w:tcPr>
            <w:tcW w:w="1060" w:type="dxa"/>
            <w:vAlign w:val="bottom"/>
            <w:tcBorders>
              <w:bottom w:val="single" w:sz="8" w:color="00A1DF"/>
            </w:tcBorders>
          </w:tcPr>
          <w:p>
            <w:pPr>
              <w:ind w:left="60"/>
              <w:spacing w:after="0"/>
              <w:rPr>
                <w:sz w:val="20"/>
                <w:szCs w:val="20"/>
                <w:color w:val="auto"/>
              </w:rPr>
            </w:pPr>
            <w:r>
              <w:rPr>
                <w:rFonts w:ascii="Arial" w:cs="Arial" w:eastAsia="Arial" w:hAnsi="Arial"/>
                <w:sz w:val="16"/>
                <w:szCs w:val="16"/>
                <w:b w:val="1"/>
                <w:bCs w:val="1"/>
                <w:color w:val="00A1DF"/>
              </w:rPr>
              <w:t>Abstentions</w:t>
            </w:r>
          </w:p>
        </w:tc>
        <w:tc>
          <w:tcPr>
            <w:tcW w:w="1180" w:type="dxa"/>
            <w:vAlign w:val="bottom"/>
            <w:tcBorders>
              <w:bottom w:val="single" w:sz="8" w:color="00A1DF"/>
              <w:right w:val="single" w:sz="8" w:color="00A1DF"/>
            </w:tcBorders>
          </w:tcPr>
          <w:p>
            <w:pPr>
              <w:jc w:val="center"/>
              <w:spacing w:after="0"/>
              <w:rPr>
                <w:sz w:val="20"/>
                <w:szCs w:val="20"/>
                <w:color w:val="auto"/>
              </w:rPr>
            </w:pPr>
            <w:r>
              <w:rPr>
                <w:rFonts w:ascii="Arial" w:cs="Arial" w:eastAsia="Arial" w:hAnsi="Arial"/>
                <w:sz w:val="16"/>
                <w:szCs w:val="16"/>
                <w:b w:val="1"/>
                <w:bCs w:val="1"/>
                <w:color w:val="00A1DF"/>
                <w:w w:val="99"/>
              </w:rPr>
              <w:t>Non-Votes</w:t>
            </w:r>
          </w:p>
        </w:tc>
        <w:tc>
          <w:tcPr>
            <w:tcW w:w="0" w:type="dxa"/>
            <w:vAlign w:val="bottom"/>
          </w:tcPr>
          <w:p>
            <w:pPr>
              <w:spacing w:after="0"/>
              <w:rPr>
                <w:sz w:val="1"/>
                <w:szCs w:val="1"/>
                <w:color w:val="auto"/>
              </w:rPr>
            </w:pPr>
          </w:p>
        </w:tc>
      </w:tr>
      <w:tr>
        <w:trPr>
          <w:trHeight w:val="236"/>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1</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Proposal Regarding Election of</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rPr>
              <w:t>FOR</w:t>
            </w:r>
          </w:p>
        </w:tc>
        <w:tc>
          <w:tcPr>
            <w:tcW w:w="3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Majority of votes cast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Directors</w:t>
            </w: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860" w:type="dxa"/>
            <w:vAlign w:val="bottom"/>
            <w:tcBorders>
              <w:left w:val="single" w:sz="8" w:color="00A1DF"/>
            </w:tcBorders>
          </w:tcPr>
          <w:p>
            <w:pPr>
              <w:spacing w:after="0"/>
              <w:rPr>
                <w:sz w:val="20"/>
                <w:szCs w:val="20"/>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Proposal to Approve, on an</w:t>
            </w:r>
          </w:p>
        </w:tc>
        <w:tc>
          <w:tcPr>
            <w:tcW w:w="148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2</w:t>
            </w: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Advisory Basis, Named Executive Officer</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rPr>
              <w:t>FOR</w:t>
            </w: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Compensation</w:t>
            </w: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tcPr>
          <w:p>
            <w:pPr>
              <w:spacing w:after="0"/>
              <w:rPr>
                <w:sz w:val="15"/>
                <w:szCs w:val="15"/>
                <w:color w:val="auto"/>
              </w:rPr>
            </w:pP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Board Proposal to Approve, on an</w:t>
            </w:r>
          </w:p>
        </w:tc>
        <w:tc>
          <w:tcPr>
            <w:tcW w:w="14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80" w:type="dxa"/>
            <w:vAlign w:val="bottom"/>
            <w:tcBorders>
              <w:right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3</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Basis, the Frequency of Future</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rPr>
              <w:t>1 YEAR</w:t>
            </w:r>
          </w:p>
        </w:tc>
        <w:tc>
          <w:tcPr>
            <w:tcW w:w="3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Advisory Votes on Named Executive</w:t>
            </w: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60" w:type="dxa"/>
            <w:vAlign w:val="bottom"/>
            <w:tcBorders>
              <w:left w:val="single" w:sz="8" w:color="00A1DF"/>
            </w:tcBorders>
          </w:tcPr>
          <w:p>
            <w:pPr>
              <w:spacing w:after="0"/>
              <w:rPr>
                <w:sz w:val="7"/>
                <w:szCs w:val="7"/>
                <w:color w:val="auto"/>
              </w:rPr>
            </w:pPr>
          </w:p>
        </w:tc>
        <w:tc>
          <w:tcPr>
            <w:tcW w:w="31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32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00A1DF"/>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00A1DF"/>
            </w:tcBorders>
          </w:tcPr>
          <w:p>
            <w:pPr>
              <w:spacing w:after="0"/>
              <w:rPr>
                <w:sz w:val="16"/>
                <w:szCs w:val="16"/>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Compensation</w:t>
            </w:r>
          </w:p>
        </w:tc>
        <w:tc>
          <w:tcPr>
            <w:tcW w:w="1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80" w:type="dxa"/>
            <w:vAlign w:val="bottom"/>
            <w:tcBorders>
              <w:right w:val="single" w:sz="8" w:color="00A1DF"/>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tcPr>
          <w:p>
            <w:pPr>
              <w:spacing w:after="0"/>
              <w:rPr>
                <w:sz w:val="15"/>
                <w:szCs w:val="15"/>
                <w:color w:val="auto"/>
              </w:rPr>
            </w:pP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Board Proposal to Ratify the Selection of</w:t>
            </w:r>
          </w:p>
        </w:tc>
        <w:tc>
          <w:tcPr>
            <w:tcW w:w="14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80" w:type="dxa"/>
            <w:vAlign w:val="bottom"/>
            <w:tcBorders>
              <w:right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4</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Ernst &amp; Young LLP as the Company’s</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rPr>
              <w:t>FOR</w:t>
            </w:r>
          </w:p>
        </w:tc>
        <w:tc>
          <w:tcPr>
            <w:tcW w:w="3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tcPr>
          <w:p>
            <w:pPr>
              <w:jc w:val="center"/>
              <w:spacing w:after="0"/>
              <w:rPr>
                <w:sz w:val="20"/>
                <w:szCs w:val="20"/>
                <w:color w:val="auto"/>
              </w:rPr>
            </w:pPr>
            <w:r>
              <w:rPr>
                <w:rFonts w:ascii="Arial" w:cs="Arial" w:eastAsia="Arial" w:hAnsi="Arial"/>
                <w:sz w:val="16"/>
                <w:szCs w:val="16"/>
                <w:color w:val="auto"/>
                <w:w w:val="98"/>
              </w:rPr>
              <w:t>Discretionary</w:t>
            </w: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Independent Registered Public</w:t>
            </w: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88"/>
        </w:trPr>
        <w:tc>
          <w:tcPr>
            <w:tcW w:w="860" w:type="dxa"/>
            <w:vAlign w:val="bottom"/>
            <w:tcBorders>
              <w:left w:val="single" w:sz="8" w:color="00A1DF"/>
            </w:tcBorders>
          </w:tcPr>
          <w:p>
            <w:pPr>
              <w:spacing w:after="0"/>
              <w:rPr>
                <w:sz w:val="7"/>
                <w:szCs w:val="7"/>
                <w:color w:val="auto"/>
              </w:rPr>
            </w:pPr>
          </w:p>
        </w:tc>
        <w:tc>
          <w:tcPr>
            <w:tcW w:w="31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32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00A1D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00A1DF"/>
            </w:tcBorders>
          </w:tcPr>
          <w:p>
            <w:pPr>
              <w:spacing w:after="0"/>
              <w:rPr>
                <w:sz w:val="16"/>
                <w:szCs w:val="16"/>
                <w:color w:val="auto"/>
              </w:rPr>
            </w:pP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Accounting Firm for 2020</w:t>
            </w:r>
          </w:p>
        </w:tc>
        <w:tc>
          <w:tcPr>
            <w:tcW w:w="1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180" w:type="dxa"/>
            <w:vAlign w:val="bottom"/>
            <w:tcBorders>
              <w:right w:val="single" w:sz="8" w:color="00A1DF"/>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Majority of shares present</w:t>
            </w: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860" w:type="dxa"/>
            <w:vAlign w:val="bottom"/>
            <w:tcBorders>
              <w:left w:val="single" w:sz="8" w:color="00A1DF"/>
            </w:tcBorders>
          </w:tcPr>
          <w:p>
            <w:pPr>
              <w:spacing w:after="0"/>
              <w:rPr>
                <w:sz w:val="10"/>
                <w:szCs w:val="10"/>
                <w:color w:val="auto"/>
              </w:rPr>
            </w:pPr>
          </w:p>
        </w:tc>
        <w:tc>
          <w:tcPr>
            <w:tcW w:w="3120" w:type="dxa"/>
            <w:vAlign w:val="bottom"/>
            <w:tcBorders>
              <w:right w:val="single" w:sz="8" w:color="auto"/>
            </w:tcBorders>
            <w:vMerge w:val="restart"/>
          </w:tcPr>
          <w:p>
            <w:pPr>
              <w:ind w:left="80"/>
              <w:spacing w:after="0" w:line="183" w:lineRule="exact"/>
              <w:rPr>
                <w:sz w:val="20"/>
                <w:szCs w:val="20"/>
                <w:color w:val="auto"/>
              </w:rPr>
            </w:pPr>
            <w:r>
              <w:rPr>
                <w:rFonts w:ascii="Arial" w:cs="Arial" w:eastAsia="Arial" w:hAnsi="Arial"/>
                <w:sz w:val="16"/>
                <w:szCs w:val="16"/>
                <w:color w:val="auto"/>
              </w:rPr>
              <w:t>Board Proposal to Approve the General</w:t>
            </w:r>
          </w:p>
        </w:tc>
        <w:tc>
          <w:tcPr>
            <w:tcW w:w="1480" w:type="dxa"/>
            <w:vAlign w:val="bottom"/>
            <w:tcBorders>
              <w:right w:val="single" w:sz="8" w:color="auto"/>
            </w:tcBorders>
          </w:tcPr>
          <w:p>
            <w:pPr>
              <w:spacing w:after="0"/>
              <w:rPr>
                <w:sz w:val="10"/>
                <w:szCs w:val="10"/>
                <w:color w:val="auto"/>
              </w:rPr>
            </w:pPr>
          </w:p>
        </w:tc>
        <w:tc>
          <w:tcPr>
            <w:tcW w:w="3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60" w:type="dxa"/>
            <w:vAlign w:val="bottom"/>
            <w:tcBorders>
              <w:left w:val="single" w:sz="8" w:color="00A1DF"/>
            </w:tcBorders>
          </w:tcPr>
          <w:p>
            <w:pPr>
              <w:spacing w:after="0"/>
              <w:rPr>
                <w:sz w:val="5"/>
                <w:szCs w:val="5"/>
                <w:color w:val="auto"/>
              </w:rPr>
            </w:pPr>
          </w:p>
        </w:tc>
        <w:tc>
          <w:tcPr>
            <w:tcW w:w="312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vMerge w:val="restart"/>
          </w:tcPr>
          <w:p>
            <w:pPr>
              <w:jc w:val="center"/>
              <w:spacing w:after="0" w:line="161" w:lineRule="exact"/>
              <w:rPr>
                <w:sz w:val="20"/>
                <w:szCs w:val="20"/>
                <w:color w:val="auto"/>
              </w:rPr>
            </w:pPr>
            <w:r>
              <w:rPr>
                <w:rFonts w:ascii="Arial" w:cs="Arial" w:eastAsia="Arial" w:hAnsi="Arial"/>
                <w:sz w:val="16"/>
                <w:szCs w:val="16"/>
                <w:color w:val="auto"/>
                <w:w w:val="99"/>
              </w:rPr>
              <w:t>(in person or by proxy)</w:t>
            </w:r>
          </w:p>
        </w:tc>
        <w:tc>
          <w:tcPr>
            <w:tcW w:w="106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5</w:t>
            </w: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Motors Company 2020 Long-Term</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rPr>
              <w:t>FOR</w:t>
            </w:r>
          </w:p>
        </w:tc>
        <w:tc>
          <w:tcPr>
            <w:tcW w:w="324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and entitled to vote</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860" w:type="dxa"/>
            <w:vAlign w:val="bottom"/>
            <w:tcBorders>
              <w:left w:val="single" w:sz="8" w:color="00A1DF"/>
            </w:tcBorders>
          </w:tcPr>
          <w:p>
            <w:pPr>
              <w:spacing w:after="0"/>
              <w:rPr>
                <w:sz w:val="10"/>
                <w:szCs w:val="10"/>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Incentive Plan</w:t>
            </w:r>
          </w:p>
        </w:tc>
        <w:tc>
          <w:tcPr>
            <w:tcW w:w="1480" w:type="dxa"/>
            <w:vAlign w:val="bottom"/>
            <w:tcBorders>
              <w:right w:val="single" w:sz="8" w:color="auto"/>
            </w:tcBorders>
          </w:tcPr>
          <w:p>
            <w:pPr>
              <w:spacing w:after="0"/>
              <w:rPr>
                <w:sz w:val="10"/>
                <w:szCs w:val="10"/>
                <w:color w:val="auto"/>
              </w:rPr>
            </w:pPr>
          </w:p>
        </w:tc>
        <w:tc>
          <w:tcPr>
            <w:tcW w:w="324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00A1DF"/>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60" w:type="dxa"/>
            <w:vAlign w:val="bottom"/>
            <w:tcBorders>
              <w:left w:val="single" w:sz="8" w:color="00A1DF"/>
            </w:tcBorders>
          </w:tcPr>
          <w:p>
            <w:pPr>
              <w:spacing w:after="0"/>
              <w:rPr>
                <w:sz w:val="5"/>
                <w:szCs w:val="5"/>
                <w:color w:val="auto"/>
              </w:rPr>
            </w:pPr>
          </w:p>
        </w:tc>
        <w:tc>
          <w:tcPr>
            <w:tcW w:w="312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180" w:type="dxa"/>
            <w:vAlign w:val="bottom"/>
            <w:tcBorders>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6</w:t>
            </w: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Shareholder Proposal Regarding</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w w:val="99"/>
              </w:rPr>
              <w:t>AGAINST</w:t>
            </w: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Shareholder Written Consent</w:t>
            </w: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tcPr>
          <w:p>
            <w:pPr>
              <w:spacing w:after="0"/>
              <w:rPr>
                <w:sz w:val="15"/>
                <w:szCs w:val="15"/>
                <w:color w:val="auto"/>
              </w:rPr>
            </w:pP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Shareholder Proposal Regarding Proxy</w:t>
            </w:r>
          </w:p>
        </w:tc>
        <w:tc>
          <w:tcPr>
            <w:tcW w:w="14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7</w:t>
            </w: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Access Amendment: Shareholder</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w w:val="99"/>
              </w:rPr>
              <w:t>AGAINST</w:t>
            </w: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Aggregation Limit</w:t>
            </w: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8</w:t>
            </w: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Shareholder Proposal Regarding Report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w w:val="99"/>
              </w:rPr>
              <w:t>AGAINST</w:t>
            </w: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on Human Rights Policy Implementation</w:t>
            </w: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60" w:type="dxa"/>
            <w:vAlign w:val="bottom"/>
            <w:tcBorders>
              <w:left w:val="single" w:sz="8" w:color="00A1DF"/>
              <w:bottom w:val="single" w:sz="8" w:color="auto"/>
            </w:tcBorders>
          </w:tcPr>
          <w:p>
            <w:pPr>
              <w:spacing w:after="0"/>
              <w:rPr>
                <w:sz w:val="5"/>
                <w:szCs w:val="5"/>
                <w:color w:val="auto"/>
              </w:rPr>
            </w:pPr>
          </w:p>
        </w:tc>
        <w:tc>
          <w:tcPr>
            <w:tcW w:w="31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60" w:type="dxa"/>
            <w:vAlign w:val="bottom"/>
            <w:tcBorders>
              <w:left w:val="single" w:sz="8" w:color="00A1DF"/>
            </w:tcBorders>
          </w:tcPr>
          <w:p>
            <w:pPr>
              <w:spacing w:after="0"/>
              <w:rPr>
                <w:sz w:val="15"/>
                <w:szCs w:val="15"/>
                <w:color w:val="auto"/>
              </w:rPr>
            </w:pPr>
          </w:p>
        </w:tc>
        <w:tc>
          <w:tcPr>
            <w:tcW w:w="3120" w:type="dxa"/>
            <w:vAlign w:val="bottom"/>
            <w:tcBorders>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Shareholder Proposal Regarding Report</w:t>
            </w:r>
          </w:p>
        </w:tc>
        <w:tc>
          <w:tcPr>
            <w:tcW w:w="14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Counted as</w:t>
            </w:r>
          </w:p>
        </w:tc>
        <w:tc>
          <w:tcPr>
            <w:tcW w:w="1180" w:type="dxa"/>
            <w:vAlign w:val="bottom"/>
            <w:tcBorders>
              <w:right w:val="single" w:sz="8" w:color="00A1DF"/>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restart"/>
          </w:tcPr>
          <w:p>
            <w:pPr>
              <w:jc w:val="center"/>
              <w:ind w:left="140"/>
              <w:spacing w:after="0"/>
              <w:rPr>
                <w:sz w:val="20"/>
                <w:szCs w:val="20"/>
                <w:color w:val="auto"/>
              </w:rPr>
            </w:pPr>
            <w:r>
              <w:rPr>
                <w:rFonts w:ascii="Arial" w:cs="Arial" w:eastAsia="Arial" w:hAnsi="Arial"/>
                <w:sz w:val="16"/>
                <w:szCs w:val="16"/>
                <w:color w:val="auto"/>
                <w:w w:val="89"/>
              </w:rPr>
              <w:t>9</w:t>
            </w: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on Lobbying Activities and</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00A1DF"/>
                <w:w w:val="99"/>
              </w:rPr>
              <w:t>AGAINST</w:t>
            </w: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vMerge w:val="restart"/>
          </w:tcPr>
          <w:p>
            <w:pPr>
              <w:jc w:val="center"/>
              <w:spacing w:after="0"/>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94"/>
        </w:trPr>
        <w:tc>
          <w:tcPr>
            <w:tcW w:w="860" w:type="dxa"/>
            <w:vAlign w:val="bottom"/>
            <w:tcBorders>
              <w:left w:val="single" w:sz="8" w:color="00A1DF"/>
            </w:tcBorders>
            <w:vMerge w:val="continue"/>
          </w:tcPr>
          <w:p>
            <w:pPr>
              <w:spacing w:after="0"/>
              <w:rPr>
                <w:sz w:val="8"/>
                <w:szCs w:val="8"/>
                <w:color w:val="auto"/>
              </w:rPr>
            </w:pPr>
          </w:p>
        </w:tc>
        <w:tc>
          <w:tcPr>
            <w:tcW w:w="3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“AGAINST”</w:t>
            </w:r>
          </w:p>
        </w:tc>
        <w:tc>
          <w:tcPr>
            <w:tcW w:w="1180" w:type="dxa"/>
            <w:vAlign w:val="bottom"/>
            <w:tcBorders>
              <w:right w:val="single" w:sz="8" w:color="00A1D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60" w:type="dxa"/>
            <w:vAlign w:val="bottom"/>
            <w:tcBorders>
              <w:left w:val="single" w:sz="8" w:color="00A1DF"/>
            </w:tcBorders>
          </w:tcPr>
          <w:p>
            <w:pPr>
              <w:spacing w:after="0"/>
              <w:rPr>
                <w:sz w:val="8"/>
                <w:szCs w:val="8"/>
                <w:color w:val="auto"/>
              </w:rPr>
            </w:pPr>
          </w:p>
        </w:tc>
        <w:tc>
          <w:tcPr>
            <w:tcW w:w="3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Communications</w:t>
            </w:r>
          </w:p>
        </w:tc>
        <w:tc>
          <w:tcPr>
            <w:tcW w:w="1480" w:type="dxa"/>
            <w:vAlign w:val="bottom"/>
            <w:tcBorders>
              <w:right w:val="single" w:sz="8" w:color="auto"/>
            </w:tcBorders>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00A1DF"/>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60" w:type="dxa"/>
            <w:vAlign w:val="bottom"/>
            <w:tcBorders>
              <w:left w:val="single" w:sz="8" w:color="00A1DF"/>
            </w:tcBorders>
          </w:tcPr>
          <w:p>
            <w:pPr>
              <w:spacing w:after="0"/>
              <w:rPr>
                <w:sz w:val="13"/>
                <w:szCs w:val="13"/>
                <w:color w:val="auto"/>
              </w:rPr>
            </w:pPr>
          </w:p>
        </w:tc>
        <w:tc>
          <w:tcPr>
            <w:tcW w:w="3120" w:type="dxa"/>
            <w:vAlign w:val="bottom"/>
            <w:tcBorders>
              <w:right w:val="single" w:sz="8" w:color="auto"/>
            </w:tcBorders>
            <w:vMerge w:val="continue"/>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32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180" w:type="dxa"/>
            <w:vAlign w:val="bottom"/>
            <w:tcBorders>
              <w:right w:val="single" w:sz="8" w:color="00A1D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0033A0"/>
            </w:tcBorders>
            <w:shd w:val="clear" w:color="auto" w:fill="0033A0"/>
          </w:tcPr>
          <w:p>
            <w:pPr>
              <w:spacing w:after="0" w:line="20" w:lineRule="exact"/>
              <w:rPr>
                <w:sz w:val="1"/>
                <w:szCs w:val="1"/>
                <w:color w:val="auto"/>
              </w:rPr>
            </w:pPr>
          </w:p>
        </w:tc>
        <w:tc>
          <w:tcPr>
            <w:tcW w:w="3120" w:type="dxa"/>
            <w:vAlign w:val="bottom"/>
            <w:tcBorders>
              <w:right w:val="single" w:sz="8" w:color="0033A0"/>
            </w:tcBorders>
            <w:shd w:val="clear" w:color="auto" w:fill="0033A0"/>
          </w:tcPr>
          <w:p>
            <w:pPr>
              <w:spacing w:after="0" w:line="20" w:lineRule="exact"/>
              <w:rPr>
                <w:sz w:val="1"/>
                <w:szCs w:val="1"/>
                <w:color w:val="auto"/>
              </w:rPr>
            </w:pPr>
          </w:p>
        </w:tc>
        <w:tc>
          <w:tcPr>
            <w:tcW w:w="1480" w:type="dxa"/>
            <w:vAlign w:val="bottom"/>
            <w:tcBorders>
              <w:right w:val="single" w:sz="8" w:color="0033A0"/>
            </w:tcBorders>
            <w:shd w:val="clear" w:color="auto" w:fill="0033A0"/>
          </w:tcPr>
          <w:p>
            <w:pPr>
              <w:spacing w:after="0" w:line="20" w:lineRule="exact"/>
              <w:rPr>
                <w:sz w:val="1"/>
                <w:szCs w:val="1"/>
                <w:color w:val="auto"/>
              </w:rPr>
            </w:pPr>
          </w:p>
        </w:tc>
        <w:tc>
          <w:tcPr>
            <w:tcW w:w="3240" w:type="dxa"/>
            <w:vAlign w:val="bottom"/>
            <w:tcBorders>
              <w:right w:val="single" w:sz="8" w:color="0033A0"/>
            </w:tcBorders>
            <w:shd w:val="clear" w:color="auto" w:fill="0033A0"/>
          </w:tcPr>
          <w:p>
            <w:pPr>
              <w:spacing w:after="0" w:line="20" w:lineRule="exact"/>
              <w:rPr>
                <w:sz w:val="1"/>
                <w:szCs w:val="1"/>
                <w:color w:val="auto"/>
              </w:rPr>
            </w:pPr>
          </w:p>
        </w:tc>
        <w:tc>
          <w:tcPr>
            <w:tcW w:w="1060" w:type="dxa"/>
            <w:vAlign w:val="bottom"/>
            <w:tcBorders>
              <w:right w:val="single" w:sz="8" w:color="0033A0"/>
            </w:tcBorders>
            <w:shd w:val="clear" w:color="auto" w:fill="0033A0"/>
          </w:tcPr>
          <w:p>
            <w:pPr>
              <w:spacing w:after="0" w:line="20" w:lineRule="exact"/>
              <w:rPr>
                <w:sz w:val="1"/>
                <w:szCs w:val="1"/>
                <w:color w:val="auto"/>
              </w:rPr>
            </w:pPr>
          </w:p>
        </w:tc>
        <w:tc>
          <w:tcPr>
            <w:tcW w:w="1180" w:type="dxa"/>
            <w:vAlign w:val="bottom"/>
            <w:tcBorders>
              <w:right w:val="single" w:sz="8" w:color="0033A0"/>
            </w:tcBorders>
            <w:shd w:val="clear" w:color="auto" w:fill="0033A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600" w:right="20" w:hanging="433"/>
        <w:spacing w:after="0" w:line="260" w:lineRule="auto"/>
        <w:tabs>
          <w:tab w:leader="none" w:pos="600" w:val="left"/>
        </w:tabs>
        <w:numPr>
          <w:ilvl w:val="0"/>
          <w:numId w:val="150"/>
        </w:numPr>
        <w:rPr>
          <w:rFonts w:ascii="Arial" w:cs="Arial" w:eastAsia="Arial" w:hAnsi="Arial"/>
          <w:sz w:val="18"/>
          <w:szCs w:val="18"/>
          <w:i w:val="1"/>
          <w:iCs w:val="1"/>
          <w:color w:val="auto"/>
        </w:rPr>
      </w:pPr>
      <w:r>
        <w:rPr>
          <w:rFonts w:ascii="Arial" w:cs="Arial" w:eastAsia="Arial" w:hAnsi="Arial"/>
          <w:sz w:val="18"/>
          <w:szCs w:val="18"/>
          <w:i w:val="1"/>
          <w:iCs w:val="1"/>
          <w:color w:val="auto"/>
        </w:rPr>
        <w:t>See sections 1.7 and 2.2(c) of the General Motors Company Amended and Restated Bylaws as of August 14, 2018, for a description of the vote requirements and the impact of abstentions and broker non-votes on the meeting agenda items listed above.</w:t>
      </w:r>
    </w:p>
    <w:p>
      <w:pPr>
        <w:spacing w:after="0" w:line="187" w:lineRule="exact"/>
        <w:rPr>
          <w:sz w:val="20"/>
          <w:szCs w:val="20"/>
          <w:color w:val="auto"/>
        </w:rPr>
      </w:pPr>
    </w:p>
    <w:p>
      <w:pPr>
        <w:ind w:left="700" w:hanging="533"/>
        <w:spacing w:after="0"/>
        <w:tabs>
          <w:tab w:leader="none" w:pos="700" w:val="left"/>
        </w:tabs>
        <w:numPr>
          <w:ilvl w:val="0"/>
          <w:numId w:val="151"/>
        </w:numPr>
        <w:rPr>
          <w:rFonts w:ascii="Arial" w:cs="Arial" w:eastAsia="Arial" w:hAnsi="Arial"/>
          <w:sz w:val="25"/>
          <w:szCs w:val="25"/>
          <w:color w:val="0033A0"/>
        </w:rPr>
      </w:pPr>
      <w:r>
        <w:rPr>
          <w:rFonts w:ascii="Arial" w:cs="Arial" w:eastAsia="Arial" w:hAnsi="Arial"/>
          <w:sz w:val="25"/>
          <w:szCs w:val="25"/>
          <w:color w:val="auto"/>
        </w:rPr>
        <w:t>Other Matters to Be Presented at the Annual Meeting</w:t>
      </w:r>
    </w:p>
    <w:p>
      <w:pPr>
        <w:spacing w:after="0" w:line="109"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We do not know of any matters to be voted on by shareholders at the Annual Meeting other than those included in this Proxy Statement. If any matter, other than the election of the Board’s nominees for director or Items two to nine in this Proxy Statement, is properly presented at the meeting, your executed proxy gives the Proxies (as defined below) discretionary authority to vote your shares in accordance with their best judgment with respect to the matter presented.</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 xml:space="preserve">98 </w:t>
      </w:r>
      <w:r>
        <w:rPr>
          <w:sz w:val="1"/>
          <w:szCs w:val="1"/>
          <w:color w:val="auto"/>
        </w:rPr>
        <w:drawing>
          <wp:inline distT="0" distB="0" distL="0" distR="0">
            <wp:extent cx="6793865" cy="10160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00"/>
          </w:cols>
          <w:pgMar w:left="320" w:top="456"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52"/>
        </w:numPr>
        <w:rPr>
          <w:rFonts w:ascii="Arial" w:cs="Arial" w:eastAsia="Arial" w:hAnsi="Arial"/>
          <w:sz w:val="25"/>
          <w:szCs w:val="25"/>
          <w:color w:val="0033A0"/>
        </w:rPr>
      </w:pPr>
      <w:r>
        <w:rPr>
          <w:rFonts w:ascii="Arial" w:cs="Arial" w:eastAsia="Arial" w:hAnsi="Arial"/>
          <w:sz w:val="25"/>
          <w:szCs w:val="25"/>
          <w:color w:val="auto"/>
        </w:rPr>
        <w:t>Attending the Virtual Annual Meeting</w:t>
      </w:r>
    </w:p>
    <w:p>
      <w:pPr>
        <w:spacing w:after="0" w:line="176"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9"/>
          <w:szCs w:val="19"/>
          <w:color w:val="auto"/>
        </w:rPr>
        <w:t>GM currently expects that its Annual Meeting will be held via a live video webcast; however, as of the date of this mailing, COVID-19 continues to spread around the world and throughout the United States, including Michigan. If it becomes necessary due to public health considerations and the need to comply with federal, state, and local restrictions on gatherings and movement, we may need to conduct the Annual Meeting in an audio-only format. If this occurs, the Board of Directors and certain members of management will dial in to the webinar from remote locations and will not be present in person.</w:t>
      </w:r>
    </w:p>
    <w:p>
      <w:pPr>
        <w:spacing w:after="0" w:line="86" w:lineRule="exact"/>
        <w:rPr>
          <w:sz w:val="20"/>
          <w:szCs w:val="20"/>
          <w:color w:val="auto"/>
        </w:rPr>
      </w:pPr>
    </w:p>
    <w:tbl>
      <w:tblPr>
        <w:tblLayout w:type="fixed"/>
        <w:tblInd w:w="170" w:type="dxa"/>
        <w:tblCellMar>
          <w:top w:w="0" w:type="dxa"/>
          <w:left w:w="0" w:type="dxa"/>
          <w:bottom w:w="0" w:type="dxa"/>
          <w:right w:w="0" w:type="dxa"/>
        </w:tblCellMar>
      </w:tblPr>
      <w:tr>
        <w:trPr>
          <w:trHeight w:val="253"/>
        </w:trPr>
        <w:tc>
          <w:tcPr>
            <w:tcW w:w="2360" w:type="dxa"/>
            <w:vAlign w:val="bottom"/>
            <w:tcBorders>
              <w:top w:val="single" w:sz="8" w:color="auto"/>
              <w:left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How to participate in</w:t>
            </w:r>
          </w:p>
        </w:tc>
        <w:tc>
          <w:tcPr>
            <w:tcW w:w="85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 xml:space="preserve">1. Visit </w:t>
            </w:r>
            <w:r>
              <w:rPr>
                <w:rFonts w:ascii="Arial" w:cs="Arial" w:eastAsia="Arial" w:hAnsi="Arial"/>
                <w:sz w:val="20"/>
                <w:szCs w:val="20"/>
                <w:i w:val="1"/>
                <w:iCs w:val="1"/>
                <w:color w:val="00A1DF"/>
              </w:rPr>
              <w:t>virtualshareholdermeeting.com/GM2020</w:t>
            </w:r>
            <w:r>
              <w:rPr>
                <w:rFonts w:ascii="Arial" w:cs="Arial" w:eastAsia="Arial" w:hAnsi="Arial"/>
                <w:sz w:val="20"/>
                <w:szCs w:val="20"/>
                <w:color w:val="auto"/>
              </w:rPr>
              <w:t>; and</w:t>
            </w:r>
          </w:p>
        </w:tc>
      </w:tr>
      <w:tr>
        <w:trPr>
          <w:trHeight w:val="214"/>
        </w:trPr>
        <w:tc>
          <w:tcPr>
            <w:tcW w:w="540" w:type="dxa"/>
            <w:vAlign w:val="bottom"/>
            <w:tcBorders>
              <w:left w:val="single" w:sz="8" w:color="auto"/>
            </w:tcBorders>
          </w:tcPr>
          <w:p>
            <w:pPr>
              <w:ind w:left="160"/>
              <w:spacing w:after="0" w:line="214" w:lineRule="exact"/>
              <w:rPr>
                <w:sz w:val="20"/>
                <w:szCs w:val="20"/>
                <w:color w:val="auto"/>
              </w:rPr>
            </w:pPr>
            <w:r>
              <w:rPr>
                <w:rFonts w:ascii="Arial" w:cs="Arial" w:eastAsia="Arial" w:hAnsi="Arial"/>
                <w:sz w:val="20"/>
                <w:szCs w:val="20"/>
                <w:b w:val="1"/>
                <w:bCs w:val="1"/>
                <w:color w:val="00A1DF"/>
              </w:rPr>
              <w:t>the</w:t>
            </w:r>
          </w:p>
        </w:tc>
        <w:tc>
          <w:tcPr>
            <w:tcW w:w="800" w:type="dxa"/>
            <w:vAlign w:val="bottom"/>
            <w:gridSpan w:val="2"/>
          </w:tcPr>
          <w:p>
            <w:pPr>
              <w:ind w:left="60"/>
              <w:spacing w:after="0" w:line="214" w:lineRule="exact"/>
              <w:rPr>
                <w:sz w:val="20"/>
                <w:szCs w:val="20"/>
                <w:color w:val="auto"/>
              </w:rPr>
            </w:pPr>
            <w:r>
              <w:rPr>
                <w:rFonts w:ascii="Arial" w:cs="Arial" w:eastAsia="Arial" w:hAnsi="Arial"/>
                <w:sz w:val="20"/>
                <w:szCs w:val="20"/>
                <w:b w:val="1"/>
                <w:bCs w:val="1"/>
                <w:color w:val="00A1DF"/>
              </w:rPr>
              <w:t>Annual</w:t>
            </w:r>
          </w:p>
        </w:tc>
        <w:tc>
          <w:tcPr>
            <w:tcW w:w="1020" w:type="dxa"/>
            <w:vAlign w:val="bottom"/>
            <w:tcBorders>
              <w:right w:val="single" w:sz="8" w:color="auto"/>
            </w:tcBorders>
          </w:tcPr>
          <w:p>
            <w:pPr>
              <w:jc w:val="center"/>
              <w:ind w:right="62"/>
              <w:spacing w:after="0" w:line="214" w:lineRule="exact"/>
              <w:rPr>
                <w:sz w:val="20"/>
                <w:szCs w:val="20"/>
                <w:color w:val="auto"/>
              </w:rPr>
            </w:pPr>
            <w:r>
              <w:rPr>
                <w:rFonts w:ascii="Arial" w:cs="Arial" w:eastAsia="Arial" w:hAnsi="Arial"/>
                <w:sz w:val="20"/>
                <w:szCs w:val="20"/>
                <w:b w:val="1"/>
                <w:bCs w:val="1"/>
                <w:color w:val="00A1DF"/>
                <w:w w:val="97"/>
              </w:rPr>
              <w:t>Meeting</w:t>
            </w:r>
          </w:p>
        </w:tc>
        <w:tc>
          <w:tcPr>
            <w:tcW w:w="8580" w:type="dxa"/>
            <w:vAlign w:val="bottom"/>
            <w:tcBorders>
              <w:right w:val="single" w:sz="8" w:color="auto"/>
            </w:tcBorders>
          </w:tcPr>
          <w:p>
            <w:pPr>
              <w:ind w:left="180"/>
              <w:spacing w:after="0" w:line="214" w:lineRule="exact"/>
              <w:rPr>
                <w:sz w:val="20"/>
                <w:szCs w:val="20"/>
                <w:color w:val="auto"/>
              </w:rPr>
            </w:pPr>
            <w:r>
              <w:rPr>
                <w:rFonts w:ascii="Arial" w:cs="Arial" w:eastAsia="Arial" w:hAnsi="Arial"/>
                <w:sz w:val="20"/>
                <w:szCs w:val="20"/>
                <w:color w:val="auto"/>
                <w:w w:val="99"/>
              </w:rPr>
              <w:t>2. Enter the 16-digit control number included on your Notice Regarding the Availability of Proxy</w:t>
            </w:r>
          </w:p>
        </w:tc>
      </w:tr>
      <w:tr>
        <w:trPr>
          <w:trHeight w:val="238"/>
        </w:trPr>
        <w:tc>
          <w:tcPr>
            <w:tcW w:w="1040" w:type="dxa"/>
            <w:vAlign w:val="bottom"/>
            <w:tcBorders>
              <w:left w:val="single" w:sz="8" w:color="auto"/>
            </w:tcBorders>
            <w:gridSpan w:val="2"/>
          </w:tcPr>
          <w:p>
            <w:pPr>
              <w:ind w:left="160"/>
              <w:spacing w:after="0"/>
              <w:rPr>
                <w:sz w:val="20"/>
                <w:szCs w:val="20"/>
                <w:color w:val="auto"/>
              </w:rPr>
            </w:pPr>
            <w:r>
              <w:rPr>
                <w:rFonts w:ascii="Arial" w:cs="Arial" w:eastAsia="Arial" w:hAnsi="Arial"/>
                <w:sz w:val="20"/>
                <w:szCs w:val="20"/>
                <w:b w:val="1"/>
                <w:bCs w:val="1"/>
                <w:color w:val="00A1DF"/>
              </w:rPr>
              <w:t>online</w:t>
            </w:r>
          </w:p>
        </w:tc>
        <w:tc>
          <w:tcPr>
            <w:tcW w:w="3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w w:val="98"/>
              </w:rPr>
              <w:t>Materials (“Notice”), on your proxy card (if you received a printed copy of the proxy materials),</w:t>
            </w:r>
          </w:p>
        </w:tc>
      </w:tr>
      <w:tr>
        <w:trPr>
          <w:trHeight w:val="235"/>
        </w:trPr>
        <w:tc>
          <w:tcPr>
            <w:tcW w:w="5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or on the instructions that accompanied your proxy materials.</w:t>
            </w:r>
          </w:p>
        </w:tc>
      </w:tr>
      <w:tr>
        <w:trPr>
          <w:trHeight w:val="273"/>
        </w:trPr>
        <w:tc>
          <w:tcPr>
            <w:tcW w:w="54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8"/>
              </w:rPr>
              <w:t>You may begin to log into the meeting platform beginning at 7:45 a.m. Eastern Time on June 16,</w:t>
            </w:r>
          </w:p>
        </w:tc>
      </w:tr>
      <w:tr>
        <w:trPr>
          <w:trHeight w:val="231"/>
        </w:trPr>
        <w:tc>
          <w:tcPr>
            <w:tcW w:w="540" w:type="dxa"/>
            <w:vAlign w:val="bottom"/>
            <w:tcBorders>
              <w:left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2020. The meeting will begin promptly at 8:00 a.m. Eastern Time.</w:t>
            </w:r>
          </w:p>
        </w:tc>
      </w:tr>
      <w:tr>
        <w:trPr>
          <w:trHeight w:val="233"/>
        </w:trPr>
        <w:tc>
          <w:tcPr>
            <w:tcW w:w="2360" w:type="dxa"/>
            <w:vAlign w:val="bottom"/>
            <w:tcBorders>
              <w:left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How to participate in</w:t>
            </w: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Call (877) 328-2502 (toll free) or (412) 317-5419 (international) to listen to the meeting</w:t>
            </w:r>
          </w:p>
        </w:tc>
      </w:tr>
      <w:tr>
        <w:trPr>
          <w:trHeight w:val="214"/>
        </w:trPr>
        <w:tc>
          <w:tcPr>
            <w:tcW w:w="540" w:type="dxa"/>
            <w:vAlign w:val="bottom"/>
            <w:tcBorders>
              <w:left w:val="single" w:sz="8" w:color="auto"/>
            </w:tcBorders>
          </w:tcPr>
          <w:p>
            <w:pPr>
              <w:ind w:left="160"/>
              <w:spacing w:after="0" w:line="214" w:lineRule="exact"/>
              <w:rPr>
                <w:sz w:val="20"/>
                <w:szCs w:val="20"/>
                <w:color w:val="auto"/>
              </w:rPr>
            </w:pPr>
            <w:r>
              <w:rPr>
                <w:rFonts w:ascii="Arial" w:cs="Arial" w:eastAsia="Arial" w:hAnsi="Arial"/>
                <w:sz w:val="20"/>
                <w:szCs w:val="20"/>
                <w:b w:val="1"/>
                <w:bCs w:val="1"/>
                <w:color w:val="00A1DF"/>
              </w:rPr>
              <w:t>the</w:t>
            </w:r>
          </w:p>
        </w:tc>
        <w:tc>
          <w:tcPr>
            <w:tcW w:w="800" w:type="dxa"/>
            <w:vAlign w:val="bottom"/>
            <w:gridSpan w:val="2"/>
          </w:tcPr>
          <w:p>
            <w:pPr>
              <w:ind w:left="60"/>
              <w:spacing w:after="0" w:line="214" w:lineRule="exact"/>
              <w:rPr>
                <w:sz w:val="20"/>
                <w:szCs w:val="20"/>
                <w:color w:val="auto"/>
              </w:rPr>
            </w:pPr>
            <w:r>
              <w:rPr>
                <w:rFonts w:ascii="Arial" w:cs="Arial" w:eastAsia="Arial" w:hAnsi="Arial"/>
                <w:sz w:val="20"/>
                <w:szCs w:val="20"/>
                <w:b w:val="1"/>
                <w:bCs w:val="1"/>
                <w:color w:val="00A1DF"/>
              </w:rPr>
              <w:t>Annual</w:t>
            </w:r>
          </w:p>
        </w:tc>
        <w:tc>
          <w:tcPr>
            <w:tcW w:w="1020" w:type="dxa"/>
            <w:vAlign w:val="bottom"/>
            <w:tcBorders>
              <w:right w:val="single" w:sz="8" w:color="auto"/>
            </w:tcBorders>
          </w:tcPr>
          <w:p>
            <w:pPr>
              <w:jc w:val="center"/>
              <w:ind w:right="62"/>
              <w:spacing w:after="0" w:line="214" w:lineRule="exact"/>
              <w:rPr>
                <w:sz w:val="20"/>
                <w:szCs w:val="20"/>
                <w:color w:val="auto"/>
              </w:rPr>
            </w:pPr>
            <w:r>
              <w:rPr>
                <w:rFonts w:ascii="Arial" w:cs="Arial" w:eastAsia="Arial" w:hAnsi="Arial"/>
                <w:sz w:val="20"/>
                <w:szCs w:val="20"/>
                <w:b w:val="1"/>
                <w:bCs w:val="1"/>
                <w:color w:val="00A1DF"/>
                <w:w w:val="97"/>
              </w:rPr>
              <w:t>Meeting</w:t>
            </w:r>
          </w:p>
        </w:tc>
        <w:tc>
          <w:tcPr>
            <w:tcW w:w="8580" w:type="dxa"/>
            <w:vAlign w:val="bottom"/>
            <w:tcBorders>
              <w:right w:val="single" w:sz="8" w:color="auto"/>
            </w:tcBorders>
          </w:tcPr>
          <w:p>
            <w:pPr>
              <w:ind w:left="180"/>
              <w:spacing w:after="0" w:line="214" w:lineRule="exact"/>
              <w:rPr>
                <w:sz w:val="20"/>
                <w:szCs w:val="20"/>
                <w:color w:val="auto"/>
              </w:rPr>
            </w:pPr>
            <w:r>
              <w:rPr>
                <w:rFonts w:ascii="Arial" w:cs="Arial" w:eastAsia="Arial" w:hAnsi="Arial"/>
                <w:sz w:val="20"/>
                <w:szCs w:val="20"/>
                <w:color w:val="auto"/>
              </w:rPr>
              <w:t>proceedings. You will not be able to vote your shares or submit questions during the meeting.</w:t>
            </w:r>
          </w:p>
        </w:tc>
      </w:tr>
      <w:tr>
        <w:trPr>
          <w:trHeight w:val="214"/>
        </w:trPr>
        <w:tc>
          <w:tcPr>
            <w:tcW w:w="1040" w:type="dxa"/>
            <w:vAlign w:val="bottom"/>
            <w:tcBorders>
              <w:left w:val="single" w:sz="8" w:color="auto"/>
            </w:tcBorders>
            <w:gridSpan w:val="2"/>
          </w:tcPr>
          <w:p>
            <w:pPr>
              <w:ind w:left="160"/>
              <w:spacing w:after="0" w:line="214" w:lineRule="exact"/>
              <w:rPr>
                <w:sz w:val="20"/>
                <w:szCs w:val="20"/>
                <w:color w:val="auto"/>
              </w:rPr>
            </w:pPr>
            <w:r>
              <w:rPr>
                <w:rFonts w:ascii="Arial" w:cs="Arial" w:eastAsia="Arial" w:hAnsi="Arial"/>
                <w:sz w:val="20"/>
                <w:szCs w:val="20"/>
                <w:b w:val="1"/>
                <w:bCs w:val="1"/>
                <w:color w:val="00A1DF"/>
              </w:rPr>
              <w:t>without</w:t>
            </w:r>
          </w:p>
        </w:tc>
        <w:tc>
          <w:tcPr>
            <w:tcW w:w="1320" w:type="dxa"/>
            <w:vAlign w:val="bottom"/>
            <w:tcBorders>
              <w:right w:val="single" w:sz="8" w:color="auto"/>
            </w:tcBorders>
            <w:gridSpan w:val="2"/>
          </w:tcPr>
          <w:p>
            <w:pPr>
              <w:ind w:left="160"/>
              <w:spacing w:after="0" w:line="214" w:lineRule="exact"/>
              <w:rPr>
                <w:sz w:val="20"/>
                <w:szCs w:val="20"/>
                <w:color w:val="auto"/>
              </w:rPr>
            </w:pPr>
            <w:r>
              <w:rPr>
                <w:rFonts w:ascii="Arial" w:cs="Arial" w:eastAsia="Arial" w:hAnsi="Arial"/>
                <w:sz w:val="20"/>
                <w:szCs w:val="20"/>
                <w:b w:val="1"/>
                <w:bCs w:val="1"/>
                <w:color w:val="00A1DF"/>
              </w:rPr>
              <w:t>Internet</w:t>
            </w:r>
          </w:p>
        </w:tc>
        <w:tc>
          <w:tcPr>
            <w:tcW w:w="8580" w:type="dxa"/>
            <w:vAlign w:val="bottom"/>
            <w:tcBorders>
              <w:right w:val="single" w:sz="8" w:color="auto"/>
            </w:tcBorders>
          </w:tcPr>
          <w:p>
            <w:pPr>
              <w:spacing w:after="0"/>
              <w:rPr>
                <w:sz w:val="18"/>
                <w:szCs w:val="18"/>
                <w:color w:val="auto"/>
              </w:rPr>
            </w:pPr>
          </w:p>
        </w:tc>
      </w:tr>
      <w:tr>
        <w:trPr>
          <w:trHeight w:val="242"/>
        </w:trPr>
        <w:tc>
          <w:tcPr>
            <w:tcW w:w="104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20"/>
                <w:szCs w:val="20"/>
                <w:b w:val="1"/>
                <w:bCs w:val="1"/>
                <w:color w:val="00A1DF"/>
              </w:rPr>
              <w:t>access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580" w:type="dxa"/>
            <w:vAlign w:val="bottom"/>
            <w:tcBorders>
              <w:bottom w:val="single" w:sz="8" w:color="auto"/>
              <w:right w:val="single" w:sz="8" w:color="auto"/>
            </w:tcBorders>
          </w:tcPr>
          <w:p>
            <w:pPr>
              <w:spacing w:after="0"/>
              <w:rPr>
                <w:sz w:val="21"/>
                <w:szCs w:val="21"/>
                <w:color w:val="auto"/>
              </w:rPr>
            </w:pPr>
          </w:p>
        </w:tc>
      </w:tr>
      <w:tr>
        <w:trPr>
          <w:trHeight w:val="233"/>
        </w:trPr>
        <w:tc>
          <w:tcPr>
            <w:tcW w:w="2360" w:type="dxa"/>
            <w:vAlign w:val="bottom"/>
            <w:tcBorders>
              <w:left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How to participate in</w:t>
            </w: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 xml:space="preserve">Visit </w:t>
            </w:r>
            <w:r>
              <w:rPr>
                <w:rFonts w:ascii="Arial" w:cs="Arial" w:eastAsia="Arial" w:hAnsi="Arial"/>
                <w:sz w:val="20"/>
                <w:szCs w:val="20"/>
                <w:i w:val="1"/>
                <w:iCs w:val="1"/>
                <w:color w:val="00A1DF"/>
              </w:rPr>
              <w:t>virtualshareholdermeeting.com/GM2020</w:t>
            </w:r>
            <w:r>
              <w:rPr>
                <w:rFonts w:ascii="Arial" w:cs="Arial" w:eastAsia="Arial" w:hAnsi="Arial"/>
                <w:sz w:val="20"/>
                <w:szCs w:val="20"/>
                <w:color w:val="auto"/>
              </w:rPr>
              <w:t xml:space="preserve"> and register as a guest. You will not be able to</w:t>
            </w:r>
          </w:p>
        </w:tc>
      </w:tr>
      <w:tr>
        <w:trPr>
          <w:trHeight w:val="214"/>
        </w:trPr>
        <w:tc>
          <w:tcPr>
            <w:tcW w:w="540" w:type="dxa"/>
            <w:vAlign w:val="bottom"/>
            <w:tcBorders>
              <w:left w:val="single" w:sz="8" w:color="auto"/>
            </w:tcBorders>
          </w:tcPr>
          <w:p>
            <w:pPr>
              <w:ind w:left="160"/>
              <w:spacing w:after="0" w:line="214" w:lineRule="exact"/>
              <w:rPr>
                <w:sz w:val="20"/>
                <w:szCs w:val="20"/>
                <w:color w:val="auto"/>
              </w:rPr>
            </w:pPr>
            <w:r>
              <w:rPr>
                <w:rFonts w:ascii="Arial" w:cs="Arial" w:eastAsia="Arial" w:hAnsi="Arial"/>
                <w:sz w:val="20"/>
                <w:szCs w:val="20"/>
                <w:b w:val="1"/>
                <w:bCs w:val="1"/>
                <w:color w:val="00A1DF"/>
              </w:rPr>
              <w:t>the</w:t>
            </w:r>
          </w:p>
        </w:tc>
        <w:tc>
          <w:tcPr>
            <w:tcW w:w="800" w:type="dxa"/>
            <w:vAlign w:val="bottom"/>
            <w:gridSpan w:val="2"/>
          </w:tcPr>
          <w:p>
            <w:pPr>
              <w:ind w:left="60"/>
              <w:spacing w:after="0" w:line="214" w:lineRule="exact"/>
              <w:rPr>
                <w:sz w:val="20"/>
                <w:szCs w:val="20"/>
                <w:color w:val="auto"/>
              </w:rPr>
            </w:pPr>
            <w:r>
              <w:rPr>
                <w:rFonts w:ascii="Arial" w:cs="Arial" w:eastAsia="Arial" w:hAnsi="Arial"/>
                <w:sz w:val="20"/>
                <w:szCs w:val="20"/>
                <w:b w:val="1"/>
                <w:bCs w:val="1"/>
                <w:color w:val="00A1DF"/>
              </w:rPr>
              <w:t>Annual</w:t>
            </w:r>
          </w:p>
        </w:tc>
        <w:tc>
          <w:tcPr>
            <w:tcW w:w="1020" w:type="dxa"/>
            <w:vAlign w:val="bottom"/>
            <w:tcBorders>
              <w:right w:val="single" w:sz="8" w:color="auto"/>
            </w:tcBorders>
          </w:tcPr>
          <w:p>
            <w:pPr>
              <w:jc w:val="center"/>
              <w:ind w:right="62"/>
              <w:spacing w:after="0" w:line="214" w:lineRule="exact"/>
              <w:rPr>
                <w:sz w:val="20"/>
                <w:szCs w:val="20"/>
                <w:color w:val="auto"/>
              </w:rPr>
            </w:pPr>
            <w:r>
              <w:rPr>
                <w:rFonts w:ascii="Arial" w:cs="Arial" w:eastAsia="Arial" w:hAnsi="Arial"/>
                <w:sz w:val="20"/>
                <w:szCs w:val="20"/>
                <w:b w:val="1"/>
                <w:bCs w:val="1"/>
                <w:color w:val="00A1DF"/>
                <w:w w:val="97"/>
              </w:rPr>
              <w:t>Meeting</w:t>
            </w:r>
          </w:p>
        </w:tc>
        <w:tc>
          <w:tcPr>
            <w:tcW w:w="8580" w:type="dxa"/>
            <w:vAlign w:val="bottom"/>
            <w:tcBorders>
              <w:right w:val="single" w:sz="8" w:color="auto"/>
            </w:tcBorders>
          </w:tcPr>
          <w:p>
            <w:pPr>
              <w:ind w:left="180"/>
              <w:spacing w:after="0" w:line="214" w:lineRule="exact"/>
              <w:rPr>
                <w:sz w:val="20"/>
                <w:szCs w:val="20"/>
                <w:color w:val="auto"/>
              </w:rPr>
            </w:pPr>
            <w:r>
              <w:rPr>
                <w:rFonts w:ascii="Arial" w:cs="Arial" w:eastAsia="Arial" w:hAnsi="Arial"/>
                <w:sz w:val="20"/>
                <w:szCs w:val="20"/>
                <w:color w:val="auto"/>
              </w:rPr>
              <w:t>vote your shares or ask questions during the meeting.</w:t>
            </w:r>
          </w:p>
        </w:tc>
      </w:tr>
      <w:tr>
        <w:trPr>
          <w:trHeight w:val="214"/>
        </w:trPr>
        <w:tc>
          <w:tcPr>
            <w:tcW w:w="2360" w:type="dxa"/>
            <w:vAlign w:val="bottom"/>
            <w:tcBorders>
              <w:left w:val="single" w:sz="8" w:color="auto"/>
              <w:right w:val="single" w:sz="8" w:color="auto"/>
            </w:tcBorders>
            <w:gridSpan w:val="4"/>
          </w:tcPr>
          <w:p>
            <w:pPr>
              <w:ind w:left="160"/>
              <w:spacing w:after="0" w:line="214" w:lineRule="exact"/>
              <w:rPr>
                <w:sz w:val="20"/>
                <w:szCs w:val="20"/>
                <w:color w:val="auto"/>
              </w:rPr>
            </w:pPr>
            <w:r>
              <w:rPr>
                <w:rFonts w:ascii="Arial" w:cs="Arial" w:eastAsia="Arial" w:hAnsi="Arial"/>
                <w:sz w:val="20"/>
                <w:szCs w:val="20"/>
                <w:b w:val="1"/>
                <w:bCs w:val="1"/>
                <w:color w:val="00A1DF"/>
              </w:rPr>
              <w:t>without  a  16-digit</w:t>
            </w:r>
          </w:p>
        </w:tc>
        <w:tc>
          <w:tcPr>
            <w:tcW w:w="8580" w:type="dxa"/>
            <w:vAlign w:val="bottom"/>
            <w:tcBorders>
              <w:right w:val="single" w:sz="8" w:color="auto"/>
            </w:tcBorders>
          </w:tcPr>
          <w:p>
            <w:pPr>
              <w:spacing w:after="0"/>
              <w:rPr>
                <w:sz w:val="18"/>
                <w:szCs w:val="18"/>
                <w:color w:val="auto"/>
              </w:rPr>
            </w:pPr>
          </w:p>
        </w:tc>
      </w:tr>
      <w:tr>
        <w:trPr>
          <w:trHeight w:val="242"/>
        </w:trPr>
        <w:tc>
          <w:tcPr>
            <w:tcW w:w="2360" w:type="dxa"/>
            <w:vAlign w:val="bottom"/>
            <w:tcBorders>
              <w:left w:val="single" w:sz="8" w:color="auto"/>
              <w:bottom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control number</w:t>
            </w:r>
          </w:p>
        </w:tc>
        <w:tc>
          <w:tcPr>
            <w:tcW w:w="8580" w:type="dxa"/>
            <w:vAlign w:val="bottom"/>
            <w:tcBorders>
              <w:bottom w:val="single" w:sz="8" w:color="auto"/>
              <w:right w:val="single" w:sz="8" w:color="auto"/>
            </w:tcBorders>
          </w:tcPr>
          <w:p>
            <w:pPr>
              <w:spacing w:after="0"/>
              <w:rPr>
                <w:sz w:val="21"/>
                <w:szCs w:val="21"/>
                <w:color w:val="auto"/>
              </w:rPr>
            </w:pPr>
          </w:p>
        </w:tc>
      </w:tr>
      <w:tr>
        <w:trPr>
          <w:trHeight w:val="233"/>
        </w:trPr>
        <w:tc>
          <w:tcPr>
            <w:tcW w:w="540" w:type="dxa"/>
            <w:vAlign w:val="bottom"/>
            <w:tcBorders>
              <w:left w:val="single" w:sz="8" w:color="auto"/>
            </w:tcBorders>
          </w:tcPr>
          <w:p>
            <w:pPr>
              <w:ind w:left="160"/>
              <w:spacing w:after="0"/>
              <w:rPr>
                <w:sz w:val="20"/>
                <w:szCs w:val="20"/>
                <w:color w:val="auto"/>
              </w:rPr>
            </w:pPr>
            <w:r>
              <w:rPr>
                <w:rFonts w:ascii="Arial" w:cs="Arial" w:eastAsia="Arial" w:hAnsi="Arial"/>
                <w:sz w:val="20"/>
                <w:szCs w:val="20"/>
                <w:b w:val="1"/>
                <w:bCs w:val="1"/>
                <w:color w:val="00A1DF"/>
              </w:rPr>
              <w:t>For</w:t>
            </w:r>
          </w:p>
        </w:tc>
        <w:tc>
          <w:tcPr>
            <w:tcW w:w="800" w:type="dxa"/>
            <w:vAlign w:val="bottom"/>
            <w:gridSpan w:val="2"/>
          </w:tcPr>
          <w:p>
            <w:pPr>
              <w:ind w:left="260"/>
              <w:spacing w:after="0"/>
              <w:rPr>
                <w:sz w:val="20"/>
                <w:szCs w:val="20"/>
                <w:color w:val="auto"/>
              </w:rPr>
            </w:pPr>
            <w:r>
              <w:rPr>
                <w:rFonts w:ascii="Arial" w:cs="Arial" w:eastAsia="Arial" w:hAnsi="Arial"/>
                <w:sz w:val="20"/>
                <w:szCs w:val="20"/>
                <w:b w:val="1"/>
                <w:bCs w:val="1"/>
                <w:color w:val="00A1DF"/>
              </w:rPr>
              <w:t>Help</w:t>
            </w:r>
          </w:p>
        </w:tc>
        <w:tc>
          <w:tcPr>
            <w:tcW w:w="1020" w:type="dxa"/>
            <w:vAlign w:val="bottom"/>
            <w:tcBorders>
              <w:right w:val="single" w:sz="8" w:color="auto"/>
            </w:tcBorders>
          </w:tcPr>
          <w:p>
            <w:pPr>
              <w:jc w:val="center"/>
              <w:ind w:right="102"/>
              <w:spacing w:after="0"/>
              <w:rPr>
                <w:sz w:val="20"/>
                <w:szCs w:val="20"/>
                <w:color w:val="auto"/>
              </w:rPr>
            </w:pPr>
            <w:r>
              <w:rPr>
                <w:rFonts w:ascii="Arial" w:cs="Arial" w:eastAsia="Arial" w:hAnsi="Arial"/>
                <w:sz w:val="20"/>
                <w:szCs w:val="20"/>
                <w:b w:val="1"/>
                <w:bCs w:val="1"/>
                <w:color w:val="00A1DF"/>
                <w:w w:val="96"/>
              </w:rPr>
              <w:t>With</w:t>
            </w: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Call (800) 586-1548 (U.S.) or (303) 562-9288 (international) for assistance. If you need</w:t>
            </w:r>
          </w:p>
        </w:tc>
      </w:tr>
      <w:tr>
        <w:trPr>
          <w:trHeight w:val="238"/>
        </w:trPr>
        <w:tc>
          <w:tcPr>
            <w:tcW w:w="2360" w:type="dxa"/>
            <w:vAlign w:val="bottom"/>
            <w:tcBorders>
              <w:left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Technical Difficulties</w:t>
            </w: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w w:val="99"/>
              </w:rPr>
              <w:t xml:space="preserve">additional shareholder support, please e-mail </w:t>
            </w:r>
            <w:r>
              <w:rPr>
                <w:rFonts w:ascii="Arial" w:cs="Arial" w:eastAsia="Arial" w:hAnsi="Arial"/>
                <w:sz w:val="20"/>
                <w:szCs w:val="20"/>
                <w:i w:val="1"/>
                <w:iCs w:val="1"/>
                <w:color w:val="auto"/>
                <w:w w:val="99"/>
              </w:rPr>
              <w:t>shareholder.relations@gm.com</w:t>
            </w:r>
            <w:r>
              <w:rPr>
                <w:rFonts w:ascii="Arial" w:cs="Arial" w:eastAsia="Arial" w:hAnsi="Arial"/>
                <w:sz w:val="20"/>
                <w:szCs w:val="20"/>
                <w:color w:val="auto"/>
                <w:w w:val="99"/>
              </w:rPr>
              <w:t xml:space="preserve"> or call (313) 667-</w:t>
            </w:r>
          </w:p>
        </w:tc>
      </w:tr>
      <w:tr>
        <w:trPr>
          <w:trHeight w:val="218"/>
        </w:trPr>
        <w:tc>
          <w:tcPr>
            <w:tcW w:w="5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580" w:type="dxa"/>
            <w:vAlign w:val="bottom"/>
            <w:tcBorders>
              <w:bottom w:val="single" w:sz="8" w:color="auto"/>
              <w:right w:val="single" w:sz="8" w:color="auto"/>
            </w:tcBorders>
          </w:tcPr>
          <w:p>
            <w:pPr>
              <w:ind w:left="180"/>
              <w:spacing w:after="0" w:line="218" w:lineRule="exact"/>
              <w:rPr>
                <w:sz w:val="20"/>
                <w:szCs w:val="20"/>
                <w:color w:val="auto"/>
              </w:rPr>
            </w:pPr>
            <w:r>
              <w:rPr>
                <w:rFonts w:ascii="Arial" w:cs="Arial" w:eastAsia="Arial" w:hAnsi="Arial"/>
                <w:sz w:val="20"/>
                <w:szCs w:val="20"/>
                <w:color w:val="auto"/>
              </w:rPr>
              <w:t>1432 for assistance.</w:t>
            </w:r>
          </w:p>
        </w:tc>
      </w:tr>
      <w:tr>
        <w:trPr>
          <w:trHeight w:val="257"/>
        </w:trPr>
        <w:tc>
          <w:tcPr>
            <w:tcW w:w="2360" w:type="dxa"/>
            <w:vAlign w:val="bottom"/>
            <w:tcBorders>
              <w:left w:val="single" w:sz="8" w:color="auto"/>
              <w:right w:val="single" w:sz="8" w:color="auto"/>
            </w:tcBorders>
            <w:gridSpan w:val="4"/>
          </w:tcPr>
          <w:p>
            <w:pPr>
              <w:ind w:left="160"/>
              <w:spacing w:after="0"/>
              <w:rPr>
                <w:sz w:val="20"/>
                <w:szCs w:val="20"/>
                <w:color w:val="auto"/>
              </w:rPr>
            </w:pPr>
            <w:r>
              <w:rPr>
                <w:rFonts w:ascii="Arial" w:cs="Arial" w:eastAsia="Arial" w:hAnsi="Arial"/>
                <w:sz w:val="20"/>
                <w:szCs w:val="20"/>
                <w:b w:val="1"/>
                <w:bCs w:val="1"/>
                <w:color w:val="00A1DF"/>
              </w:rPr>
              <w:t>Additional Questions</w:t>
            </w:r>
          </w:p>
        </w:tc>
        <w:tc>
          <w:tcPr>
            <w:tcW w:w="858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 xml:space="preserve">Email GM Shareholder Relations at </w:t>
            </w:r>
            <w:r>
              <w:rPr>
                <w:rFonts w:ascii="Arial" w:cs="Arial" w:eastAsia="Arial" w:hAnsi="Arial"/>
                <w:sz w:val="20"/>
                <w:szCs w:val="20"/>
                <w:i w:val="1"/>
                <w:iCs w:val="1"/>
                <w:color w:val="auto"/>
              </w:rPr>
              <w:t>shareholder.relations@gm.com</w:t>
            </w:r>
            <w:r>
              <w:rPr>
                <w:rFonts w:ascii="Arial" w:cs="Arial" w:eastAsia="Arial" w:hAnsi="Arial"/>
                <w:sz w:val="20"/>
                <w:szCs w:val="20"/>
                <w:color w:val="auto"/>
              </w:rPr>
              <w:t xml:space="preserve"> or call</w:t>
            </w:r>
          </w:p>
        </w:tc>
      </w:tr>
      <w:tr>
        <w:trPr>
          <w:trHeight w:val="218"/>
        </w:trPr>
        <w:tc>
          <w:tcPr>
            <w:tcW w:w="540" w:type="dxa"/>
            <w:vAlign w:val="bottom"/>
            <w:tcBorders>
              <w:left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580" w:type="dxa"/>
            <w:vAlign w:val="bottom"/>
            <w:tcBorders>
              <w:bottom w:val="single" w:sz="8" w:color="auto"/>
              <w:right w:val="single" w:sz="8" w:color="auto"/>
            </w:tcBorders>
          </w:tcPr>
          <w:p>
            <w:pPr>
              <w:ind w:left="180"/>
              <w:spacing w:after="0" w:line="218" w:lineRule="exact"/>
              <w:rPr>
                <w:sz w:val="20"/>
                <w:szCs w:val="20"/>
                <w:color w:val="auto"/>
              </w:rPr>
            </w:pPr>
            <w:r>
              <w:rPr>
                <w:rFonts w:ascii="Arial" w:cs="Arial" w:eastAsia="Arial" w:hAnsi="Arial"/>
                <w:sz w:val="20"/>
                <w:szCs w:val="20"/>
                <w:color w:val="auto"/>
              </w:rPr>
              <w:t>(313) 667-1432.</w:t>
            </w:r>
          </w:p>
        </w:tc>
      </w:tr>
    </w:tbl>
    <w:p>
      <w:pPr>
        <w:spacing w:after="0" w:line="363" w:lineRule="exact"/>
        <w:rPr>
          <w:sz w:val="20"/>
          <w:szCs w:val="20"/>
          <w:color w:val="auto"/>
        </w:rPr>
      </w:pPr>
    </w:p>
    <w:p>
      <w:pPr>
        <w:ind w:left="700" w:hanging="533"/>
        <w:spacing w:after="0"/>
        <w:tabs>
          <w:tab w:leader="none" w:pos="700" w:val="left"/>
        </w:tabs>
        <w:numPr>
          <w:ilvl w:val="0"/>
          <w:numId w:val="153"/>
        </w:numPr>
        <w:rPr>
          <w:rFonts w:ascii="Arial" w:cs="Arial" w:eastAsia="Arial" w:hAnsi="Arial"/>
          <w:sz w:val="25"/>
          <w:szCs w:val="25"/>
          <w:color w:val="0033A0"/>
        </w:rPr>
      </w:pPr>
      <w:r>
        <w:rPr>
          <w:rFonts w:ascii="Arial" w:cs="Arial" w:eastAsia="Arial" w:hAnsi="Arial"/>
          <w:sz w:val="25"/>
          <w:szCs w:val="25"/>
          <w:color w:val="auto"/>
        </w:rPr>
        <w:t>Submitting Questions for Our Online Meeting</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277"/>
        </w:trPr>
        <w:tc>
          <w:tcPr>
            <w:tcW w:w="22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20"/>
                <w:szCs w:val="20"/>
                <w:b w:val="1"/>
                <w:bCs w:val="1"/>
                <w:color w:val="00A1DF"/>
              </w:rPr>
              <w:t>Submitting Questions</w:t>
            </w:r>
          </w:p>
        </w:tc>
        <w:tc>
          <w:tcPr>
            <w:tcW w:w="86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 xml:space="preserve">1. Log in to </w:t>
            </w:r>
            <w:r>
              <w:rPr>
                <w:rFonts w:ascii="Arial" w:cs="Arial" w:eastAsia="Arial" w:hAnsi="Arial"/>
                <w:sz w:val="20"/>
                <w:szCs w:val="20"/>
                <w:i w:val="1"/>
                <w:iCs w:val="1"/>
                <w:color w:val="00A1DF"/>
              </w:rPr>
              <w:t>proxyvote.com</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0"/>
        </w:trPr>
        <w:tc>
          <w:tcPr>
            <w:tcW w:w="2280" w:type="dxa"/>
            <w:vAlign w:val="bottom"/>
            <w:tcBorders>
              <w:left w:val="single" w:sz="8" w:color="auto"/>
              <w:right w:val="single" w:sz="8" w:color="auto"/>
            </w:tcBorders>
            <w:vMerge w:val="continue"/>
          </w:tcPr>
          <w:p>
            <w:pPr>
              <w:spacing w:after="0"/>
              <w:rPr>
                <w:sz w:val="16"/>
                <w:szCs w:val="16"/>
                <w:color w:val="auto"/>
              </w:rPr>
            </w:pPr>
          </w:p>
        </w:tc>
        <w:tc>
          <w:tcPr>
            <w:tcW w:w="8660" w:type="dxa"/>
            <w:vAlign w:val="bottom"/>
            <w:tcBorders>
              <w:right w:val="single" w:sz="8" w:color="auto"/>
            </w:tcBorders>
          </w:tcPr>
          <w:p>
            <w:pPr>
              <w:ind w:left="180"/>
              <w:spacing w:after="0" w:line="190" w:lineRule="exact"/>
              <w:rPr>
                <w:sz w:val="20"/>
                <w:szCs w:val="20"/>
                <w:color w:val="auto"/>
              </w:rPr>
            </w:pPr>
            <w:r>
              <w:rPr>
                <w:rFonts w:ascii="Arial" w:cs="Arial" w:eastAsia="Arial" w:hAnsi="Arial"/>
                <w:sz w:val="20"/>
                <w:szCs w:val="20"/>
                <w:color w:val="auto"/>
              </w:rPr>
              <w:t>2. Enter your 16-digit control number; and</w:t>
            </w: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00A1DF"/>
              </w:rPr>
              <w:t>Before the Meeting</w:t>
            </w:r>
          </w:p>
        </w:tc>
        <w:tc>
          <w:tcPr>
            <w:tcW w:w="86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3. Once past the login screen, click on “Questions for Management,” type in your question and</w:t>
            </w:r>
          </w:p>
        </w:tc>
        <w:tc>
          <w:tcPr>
            <w:tcW w:w="0" w:type="dxa"/>
            <w:vAlign w:val="bottom"/>
          </w:tcPr>
          <w:p>
            <w:pPr>
              <w:spacing w:after="0"/>
              <w:rPr>
                <w:sz w:val="1"/>
                <w:szCs w:val="1"/>
                <w:color w:val="auto"/>
              </w:rPr>
            </w:pPr>
          </w:p>
        </w:tc>
      </w:tr>
      <w:tr>
        <w:trPr>
          <w:trHeight w:val="23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6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click “Submit.”</w:t>
            </w:r>
          </w:p>
        </w:tc>
        <w:tc>
          <w:tcPr>
            <w:tcW w:w="0" w:type="dxa"/>
            <w:vAlign w:val="bottom"/>
          </w:tcPr>
          <w:p>
            <w:pPr>
              <w:spacing w:after="0"/>
              <w:rPr>
                <w:sz w:val="1"/>
                <w:szCs w:val="1"/>
                <w:color w:val="auto"/>
              </w:rPr>
            </w:pPr>
          </w:p>
        </w:tc>
      </w:tr>
      <w:tr>
        <w:trPr>
          <w:trHeight w:val="257"/>
        </w:trPr>
        <w:tc>
          <w:tcPr>
            <w:tcW w:w="22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20"/>
                <w:szCs w:val="20"/>
                <w:b w:val="1"/>
                <w:bCs w:val="1"/>
                <w:color w:val="00A1DF"/>
              </w:rPr>
              <w:t>Submitting Questions</w:t>
            </w:r>
          </w:p>
        </w:tc>
        <w:tc>
          <w:tcPr>
            <w:tcW w:w="86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 xml:space="preserve">1. Log into the online meeting platform at </w:t>
            </w:r>
            <w:r>
              <w:rPr>
                <w:rFonts w:ascii="Arial" w:cs="Arial" w:eastAsia="Arial" w:hAnsi="Arial"/>
                <w:sz w:val="20"/>
                <w:szCs w:val="20"/>
                <w:i w:val="1"/>
                <w:iCs w:val="1"/>
                <w:color w:val="00A1DF"/>
              </w:rPr>
              <w:t>virtualshareholdermeeting.com/GM2020</w:t>
            </w:r>
            <w:r>
              <w:rPr>
                <w:rFonts w:ascii="Arial" w:cs="Arial" w:eastAsia="Arial" w:hAnsi="Arial"/>
                <w:sz w:val="20"/>
                <w:szCs w:val="20"/>
                <w:color w:val="auto"/>
              </w:rPr>
              <w:t>, type your</w:t>
            </w:r>
          </w:p>
        </w:tc>
        <w:tc>
          <w:tcPr>
            <w:tcW w:w="0" w:type="dxa"/>
            <w:vAlign w:val="bottom"/>
          </w:tcPr>
          <w:p>
            <w:pPr>
              <w:spacing w:after="0"/>
              <w:rPr>
                <w:sz w:val="1"/>
                <w:szCs w:val="1"/>
                <w:color w:val="auto"/>
              </w:rPr>
            </w:pPr>
          </w:p>
        </w:tc>
      </w:tr>
      <w:tr>
        <w:trPr>
          <w:trHeight w:val="83"/>
        </w:trPr>
        <w:tc>
          <w:tcPr>
            <w:tcW w:w="2280" w:type="dxa"/>
            <w:vAlign w:val="bottom"/>
            <w:tcBorders>
              <w:left w:val="single" w:sz="8" w:color="auto"/>
              <w:right w:val="single" w:sz="8" w:color="auto"/>
            </w:tcBorders>
            <w:vMerge w:val="continue"/>
          </w:tcPr>
          <w:p>
            <w:pPr>
              <w:spacing w:after="0"/>
              <w:rPr>
                <w:sz w:val="7"/>
                <w:szCs w:val="7"/>
                <w:color w:val="auto"/>
              </w:rPr>
            </w:pPr>
          </w:p>
        </w:tc>
        <w:tc>
          <w:tcPr>
            <w:tcW w:w="8660" w:type="dxa"/>
            <w:vAlign w:val="bottom"/>
            <w:tcBorders>
              <w:right w:val="single" w:sz="8" w:color="auto"/>
            </w:tcBorders>
            <w:vMerge w:val="restart"/>
          </w:tcPr>
          <w:p>
            <w:pPr>
              <w:ind w:left="380"/>
              <w:spacing w:after="0" w:line="214" w:lineRule="exact"/>
              <w:rPr>
                <w:sz w:val="20"/>
                <w:szCs w:val="20"/>
                <w:color w:val="auto"/>
              </w:rPr>
            </w:pPr>
            <w:r>
              <w:rPr>
                <w:rFonts w:ascii="Arial" w:cs="Arial" w:eastAsia="Arial" w:hAnsi="Arial"/>
                <w:sz w:val="20"/>
                <w:szCs w:val="20"/>
                <w:color w:val="auto"/>
              </w:rPr>
              <w:t>question into the “Ask a Question” field, and click “Submit”; or</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20"/>
                <w:szCs w:val="20"/>
                <w:b w:val="1"/>
                <w:bCs w:val="1"/>
                <w:color w:val="00A1DF"/>
              </w:rPr>
              <w:t>During the Meeting</w:t>
            </w:r>
          </w:p>
        </w:tc>
        <w:tc>
          <w:tcPr>
            <w:tcW w:w="8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right w:val="single" w:sz="8" w:color="auto"/>
            </w:tcBorders>
            <w:vMerge w:val="continue"/>
          </w:tcPr>
          <w:p>
            <w:pPr>
              <w:spacing w:after="0"/>
              <w:rPr>
                <w:sz w:val="11"/>
                <w:szCs w:val="11"/>
                <w:color w:val="auto"/>
              </w:rPr>
            </w:pPr>
          </w:p>
        </w:tc>
        <w:tc>
          <w:tcPr>
            <w:tcW w:w="866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color w:val="auto"/>
              </w:rPr>
              <w:t>2. Call (877) 328-2502 (toll free) or (412) 317-5419 (international)</w:t>
            </w:r>
          </w:p>
        </w:tc>
        <w:tc>
          <w:tcPr>
            <w:tcW w:w="0" w:type="dxa"/>
            <w:vAlign w:val="bottom"/>
          </w:tcPr>
          <w:p>
            <w:pPr>
              <w:spacing w:after="0"/>
              <w:rPr>
                <w:sz w:val="1"/>
                <w:szCs w:val="1"/>
                <w:color w:val="auto"/>
              </w:rPr>
            </w:pPr>
          </w:p>
        </w:tc>
      </w:tr>
      <w:tr>
        <w:trPr>
          <w:trHeight w:val="102"/>
        </w:trPr>
        <w:tc>
          <w:tcPr>
            <w:tcW w:w="2280" w:type="dxa"/>
            <w:vAlign w:val="bottom"/>
            <w:tcBorders>
              <w:left w:val="single" w:sz="8" w:color="auto"/>
              <w:bottom w:val="single" w:sz="8" w:color="auto"/>
              <w:right w:val="single" w:sz="8" w:color="auto"/>
            </w:tcBorders>
          </w:tcPr>
          <w:p>
            <w:pPr>
              <w:spacing w:after="0"/>
              <w:rPr>
                <w:sz w:val="8"/>
                <w:szCs w:val="8"/>
                <w:color w:val="auto"/>
              </w:rPr>
            </w:pPr>
          </w:p>
        </w:tc>
        <w:tc>
          <w:tcPr>
            <w:tcW w:w="86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Only shareholders with a valid control number will be allowed to ask questions.</w:t>
      </w:r>
    </w:p>
    <w:p>
      <w:pPr>
        <w:spacing w:after="0" w:line="91" w:lineRule="exact"/>
        <w:rPr>
          <w:sz w:val="20"/>
          <w:szCs w:val="20"/>
          <w:color w:val="auto"/>
        </w:rPr>
      </w:pPr>
    </w:p>
    <w:p>
      <w:pPr>
        <w:jc w:val="both"/>
        <w:ind w:left="160" w:right="20"/>
        <w:spacing w:after="0" w:line="228" w:lineRule="auto"/>
        <w:rPr>
          <w:sz w:val="20"/>
          <w:szCs w:val="20"/>
          <w:color w:val="auto"/>
        </w:rPr>
      </w:pPr>
      <w:r>
        <w:rPr>
          <w:rFonts w:ascii="Arial" w:cs="Arial" w:eastAsia="Arial" w:hAnsi="Arial"/>
          <w:sz w:val="20"/>
          <w:szCs w:val="20"/>
          <w:color w:val="auto"/>
        </w:rPr>
        <w:t xml:space="preserve">Questions pertinent to meeting matters will be answered during the meeting, subject to time constraints. If there are questions pertinent to meeting matters that cannot be answered during the meeting due to time constraints, management will post answers to a representative set of such questions at </w:t>
      </w:r>
      <w:r>
        <w:rPr>
          <w:rFonts w:ascii="Arial" w:cs="Arial" w:eastAsia="Arial" w:hAnsi="Arial"/>
          <w:sz w:val="20"/>
          <w:szCs w:val="20"/>
          <w:i w:val="1"/>
          <w:iCs w:val="1"/>
          <w:color w:val="00A1DF"/>
        </w:rPr>
        <w:t>investor.gm.com/shareholder</w:t>
      </w:r>
      <w:r>
        <w:rPr>
          <w:rFonts w:ascii="Arial" w:cs="Arial" w:eastAsia="Arial" w:hAnsi="Arial"/>
          <w:sz w:val="20"/>
          <w:szCs w:val="20"/>
          <w:color w:val="auto"/>
        </w:rPr>
        <w:t>. The questions and answers will be available as soon as practicable after the meeting and will remain available until GM’s 2021 Proxy Statement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793865" cy="1016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99</w:t>
      </w:r>
    </w:p>
    <w:p>
      <w:pPr>
        <w:sectPr>
          <w:pgSz w:w="11900" w:h="16838" w:orient="portrait"/>
          <w:cols w:equalWidth="0" w:num="1">
            <w:col w:w="11100"/>
          </w:cols>
          <w:pgMar w:left="320" w:top="456"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54"/>
        </w:numPr>
        <w:rPr>
          <w:rFonts w:ascii="Arial" w:cs="Arial" w:eastAsia="Arial" w:hAnsi="Arial"/>
          <w:sz w:val="25"/>
          <w:szCs w:val="25"/>
          <w:color w:val="0033A0"/>
        </w:rPr>
      </w:pPr>
      <w:r>
        <w:rPr>
          <w:rFonts w:ascii="Arial" w:cs="Arial" w:eastAsia="Arial" w:hAnsi="Arial"/>
          <w:sz w:val="25"/>
          <w:szCs w:val="25"/>
          <w:color w:val="auto"/>
        </w:rPr>
        <w:t>Voting at the Annual Meeting</w:t>
      </w:r>
    </w:p>
    <w:p>
      <w:pPr>
        <w:spacing w:after="0" w:line="176" w:lineRule="exact"/>
        <w:rPr>
          <w:sz w:val="20"/>
          <w:szCs w:val="20"/>
          <w:color w:val="auto"/>
        </w:rPr>
      </w:pPr>
    </w:p>
    <w:p>
      <w:pPr>
        <w:jc w:val="both"/>
        <w:ind w:left="160" w:right="60"/>
        <w:spacing w:after="0" w:line="230" w:lineRule="auto"/>
        <w:rPr>
          <w:sz w:val="20"/>
          <w:szCs w:val="20"/>
          <w:color w:val="auto"/>
        </w:rPr>
      </w:pPr>
      <w:r>
        <w:rPr>
          <w:rFonts w:ascii="Arial" w:cs="Arial" w:eastAsia="Arial" w:hAnsi="Arial"/>
          <w:sz w:val="20"/>
          <w:szCs w:val="20"/>
          <w:color w:val="auto"/>
        </w:rPr>
        <w:t>Shareholders of record and beneficial owners will be able to vote their shares electronically during the Annual Meeting. However, even if you plan to participate in the Annual Meeting online, we recommend that you also vote by proxy so that your votes will be counted if you later decide not to participate in the Annual Meeting.</w:t>
      </w:r>
    </w:p>
    <w:p>
      <w:pPr>
        <w:spacing w:after="0" w:line="347" w:lineRule="exact"/>
        <w:rPr>
          <w:sz w:val="20"/>
          <w:szCs w:val="20"/>
          <w:color w:val="auto"/>
        </w:rPr>
      </w:pPr>
    </w:p>
    <w:p>
      <w:pPr>
        <w:ind w:left="700" w:hanging="533"/>
        <w:spacing w:after="0"/>
        <w:tabs>
          <w:tab w:leader="none" w:pos="700" w:val="left"/>
        </w:tabs>
        <w:numPr>
          <w:ilvl w:val="0"/>
          <w:numId w:val="155"/>
        </w:numPr>
        <w:rPr>
          <w:rFonts w:ascii="Arial" w:cs="Arial" w:eastAsia="Arial" w:hAnsi="Arial"/>
          <w:sz w:val="25"/>
          <w:szCs w:val="25"/>
          <w:color w:val="0033A0"/>
        </w:rPr>
      </w:pPr>
      <w:r>
        <w:rPr>
          <w:rFonts w:ascii="Arial" w:cs="Arial" w:eastAsia="Arial" w:hAnsi="Arial"/>
          <w:sz w:val="25"/>
          <w:szCs w:val="25"/>
          <w:color w:val="auto"/>
        </w:rPr>
        <w:t>Quorum</w:t>
      </w:r>
    </w:p>
    <w:p>
      <w:pPr>
        <w:spacing w:after="0" w:line="189" w:lineRule="exact"/>
        <w:rPr>
          <w:sz w:val="20"/>
          <w:szCs w:val="20"/>
          <w:color w:val="auto"/>
        </w:rPr>
      </w:pPr>
    </w:p>
    <w:p>
      <w:pPr>
        <w:jc w:val="both"/>
        <w:ind w:left="160" w:right="60"/>
        <w:spacing w:after="0" w:line="230" w:lineRule="auto"/>
        <w:rPr>
          <w:sz w:val="20"/>
          <w:szCs w:val="20"/>
          <w:color w:val="auto"/>
        </w:rPr>
      </w:pPr>
      <w:r>
        <w:rPr>
          <w:rFonts w:ascii="Arial" w:cs="Arial" w:eastAsia="Arial" w:hAnsi="Arial"/>
          <w:sz w:val="20"/>
          <w:szCs w:val="20"/>
          <w:color w:val="auto"/>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347" w:lineRule="exact"/>
        <w:rPr>
          <w:sz w:val="20"/>
          <w:szCs w:val="20"/>
          <w:color w:val="auto"/>
        </w:rPr>
      </w:pPr>
    </w:p>
    <w:p>
      <w:pPr>
        <w:ind w:left="700" w:hanging="533"/>
        <w:spacing w:after="0"/>
        <w:tabs>
          <w:tab w:leader="none" w:pos="700" w:val="left"/>
        </w:tabs>
        <w:numPr>
          <w:ilvl w:val="0"/>
          <w:numId w:val="156"/>
        </w:numPr>
        <w:rPr>
          <w:rFonts w:ascii="Arial" w:cs="Arial" w:eastAsia="Arial" w:hAnsi="Arial"/>
          <w:sz w:val="25"/>
          <w:szCs w:val="25"/>
          <w:color w:val="0033A0"/>
        </w:rPr>
      </w:pPr>
      <w:r>
        <w:rPr>
          <w:rFonts w:ascii="Arial" w:cs="Arial" w:eastAsia="Arial" w:hAnsi="Arial"/>
          <w:sz w:val="25"/>
          <w:szCs w:val="25"/>
          <w:color w:val="auto"/>
        </w:rPr>
        <w:t>Proxies</w:t>
      </w:r>
    </w:p>
    <w:p>
      <w:pPr>
        <w:spacing w:after="0" w:line="176" w:lineRule="exact"/>
        <w:rPr>
          <w:sz w:val="20"/>
          <w:szCs w:val="20"/>
          <w:color w:val="auto"/>
        </w:rPr>
      </w:pPr>
    </w:p>
    <w:p>
      <w:pPr>
        <w:jc w:val="both"/>
        <w:ind w:left="160" w:right="60"/>
        <w:spacing w:after="0" w:line="227" w:lineRule="auto"/>
        <w:rPr>
          <w:sz w:val="20"/>
          <w:szCs w:val="20"/>
          <w:color w:val="auto"/>
        </w:rPr>
      </w:pPr>
      <w:r>
        <w:rPr>
          <w:rFonts w:ascii="Arial" w:cs="Arial" w:eastAsia="Arial" w:hAnsi="Arial"/>
          <w:sz w:val="20"/>
          <w:szCs w:val="20"/>
          <w:color w:val="auto"/>
        </w:rPr>
        <w:t>The Board appointed the following officers to act as proxies: Mary T. Barra, Craig B. Glidden, and Rick E. Hansen (collectively, the “Proxies”).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348" w:lineRule="exact"/>
        <w:rPr>
          <w:sz w:val="20"/>
          <w:szCs w:val="20"/>
          <w:color w:val="auto"/>
        </w:rPr>
      </w:pPr>
    </w:p>
    <w:p>
      <w:pPr>
        <w:ind w:left="700" w:hanging="533"/>
        <w:spacing w:after="0"/>
        <w:tabs>
          <w:tab w:leader="none" w:pos="700" w:val="left"/>
        </w:tabs>
        <w:numPr>
          <w:ilvl w:val="0"/>
          <w:numId w:val="157"/>
        </w:numPr>
        <w:rPr>
          <w:rFonts w:ascii="Arial" w:cs="Arial" w:eastAsia="Arial" w:hAnsi="Arial"/>
          <w:sz w:val="25"/>
          <w:szCs w:val="25"/>
          <w:color w:val="0033A0"/>
        </w:rPr>
      </w:pPr>
      <w:r>
        <w:rPr>
          <w:rFonts w:ascii="Arial" w:cs="Arial" w:eastAsia="Arial" w:hAnsi="Arial"/>
          <w:sz w:val="25"/>
          <w:szCs w:val="25"/>
          <w:color w:val="auto"/>
        </w:rPr>
        <w:t>Who Can Vote</w:t>
      </w:r>
    </w:p>
    <w:p>
      <w:pPr>
        <w:spacing w:after="0" w:line="176" w:lineRule="exact"/>
        <w:rPr>
          <w:sz w:val="20"/>
          <w:szCs w:val="20"/>
          <w:color w:val="auto"/>
        </w:rPr>
      </w:pPr>
    </w:p>
    <w:p>
      <w:pPr>
        <w:jc w:val="both"/>
        <w:ind w:left="160" w:right="60"/>
        <w:spacing w:after="0" w:line="230" w:lineRule="auto"/>
        <w:rPr>
          <w:sz w:val="20"/>
          <w:szCs w:val="20"/>
          <w:color w:val="auto"/>
        </w:rPr>
      </w:pPr>
      <w:r>
        <w:rPr>
          <w:rFonts w:ascii="Arial" w:cs="Arial" w:eastAsia="Arial" w:hAnsi="Arial"/>
          <w:sz w:val="20"/>
          <w:szCs w:val="20"/>
          <w:color w:val="auto"/>
        </w:rPr>
        <w:t>If you are a holder of the Company’s common stock as of the close of business on April 17, 2020, or you hold a valid proxy, you are entitled to vote at the Annual Meeting. On that date, the Company had 1,432,378,376 shares of common stock outstanding and entitled to vote. Each share of our common stock entitles the holder to one vote.</w:t>
      </w:r>
    </w:p>
    <w:p>
      <w:pPr>
        <w:spacing w:after="0" w:line="347" w:lineRule="exact"/>
        <w:rPr>
          <w:sz w:val="20"/>
          <w:szCs w:val="20"/>
          <w:color w:val="auto"/>
        </w:rPr>
      </w:pPr>
    </w:p>
    <w:p>
      <w:pPr>
        <w:ind w:left="700" w:hanging="533"/>
        <w:spacing w:after="0"/>
        <w:tabs>
          <w:tab w:leader="none" w:pos="700" w:val="left"/>
        </w:tabs>
        <w:numPr>
          <w:ilvl w:val="0"/>
          <w:numId w:val="158"/>
        </w:numPr>
        <w:rPr>
          <w:rFonts w:ascii="Arial" w:cs="Arial" w:eastAsia="Arial" w:hAnsi="Arial"/>
          <w:sz w:val="25"/>
          <w:szCs w:val="25"/>
          <w:color w:val="0033A0"/>
        </w:rPr>
      </w:pPr>
      <w:r>
        <w:rPr>
          <w:rFonts w:ascii="Arial" w:cs="Arial" w:eastAsia="Arial" w:hAnsi="Arial"/>
          <w:sz w:val="25"/>
          <w:szCs w:val="25"/>
          <w:color w:val="auto"/>
        </w:rPr>
        <w:t>Voting Without Attending the Annual Meeting</w:t>
      </w:r>
    </w:p>
    <w:p>
      <w:pPr>
        <w:spacing w:after="0" w:line="189" w:lineRule="exact"/>
        <w:rPr>
          <w:sz w:val="20"/>
          <w:szCs w:val="20"/>
          <w:color w:val="auto"/>
        </w:rPr>
      </w:pPr>
    </w:p>
    <w:p>
      <w:pPr>
        <w:jc w:val="both"/>
        <w:ind w:left="160" w:right="60"/>
        <w:spacing w:after="0" w:line="227" w:lineRule="auto"/>
        <w:rPr>
          <w:sz w:val="20"/>
          <w:szCs w:val="20"/>
          <w:color w:val="auto"/>
        </w:rPr>
      </w:pPr>
      <w:r>
        <w:rPr>
          <w:rFonts w:ascii="Arial" w:cs="Arial" w:eastAsia="Arial" w:hAnsi="Arial"/>
          <w:sz w:val="20"/>
          <w:szCs w:val="20"/>
          <w:color w:val="auto"/>
        </w:rPr>
        <w:t>To vote your shares without attending the meeting, please follow the instructions for voting on the Notice, on your proxy card, or on the voting instructions form. When you timely submit your proxy or voting instructions in the proper form, your shares will be voted according to your instructions. If you sign, date, and return the proxy card or voting instruction form without specifying how you wish to cast your vote, your shares will be voted by the Proxies according to the recommendations of the Board of Directors, as indicated above. Internet and telephone voting is available 24 hours a day, through 11:59 p.m. Eastern Time on Monday, June 15, 2020.</w:t>
      </w:r>
    </w:p>
    <w:p>
      <w:pPr>
        <w:spacing w:after="0" w:line="345" w:lineRule="exact"/>
        <w:rPr>
          <w:sz w:val="20"/>
          <w:szCs w:val="20"/>
          <w:color w:val="auto"/>
        </w:rPr>
      </w:pPr>
    </w:p>
    <w:p>
      <w:pPr>
        <w:ind w:left="700" w:hanging="533"/>
        <w:spacing w:after="0"/>
        <w:tabs>
          <w:tab w:leader="none" w:pos="700" w:val="left"/>
        </w:tabs>
        <w:numPr>
          <w:ilvl w:val="0"/>
          <w:numId w:val="159"/>
        </w:numPr>
        <w:rPr>
          <w:rFonts w:ascii="Arial" w:cs="Arial" w:eastAsia="Arial" w:hAnsi="Arial"/>
          <w:sz w:val="25"/>
          <w:szCs w:val="25"/>
          <w:color w:val="0033A0"/>
        </w:rPr>
      </w:pPr>
      <w:r>
        <w:rPr>
          <w:rFonts w:ascii="Arial" w:cs="Arial" w:eastAsia="Arial" w:hAnsi="Arial"/>
          <w:sz w:val="25"/>
          <w:szCs w:val="25"/>
          <w:color w:val="auto"/>
        </w:rPr>
        <w:t>Revoking Your Proxy</w:t>
      </w:r>
    </w:p>
    <w:p>
      <w:pPr>
        <w:spacing w:after="0" w:line="176" w:lineRule="exact"/>
        <w:rPr>
          <w:sz w:val="20"/>
          <w:szCs w:val="20"/>
          <w:color w:val="auto"/>
        </w:rPr>
      </w:pPr>
    </w:p>
    <w:p>
      <w:pPr>
        <w:jc w:val="both"/>
        <w:ind w:left="160" w:right="60"/>
        <w:spacing w:after="0" w:line="230" w:lineRule="auto"/>
        <w:rPr>
          <w:sz w:val="20"/>
          <w:szCs w:val="20"/>
          <w:color w:val="auto"/>
        </w:rPr>
      </w:pPr>
      <w:r>
        <w:rPr>
          <w:rFonts w:ascii="Arial" w:cs="Arial" w:eastAsia="Arial" w:hAnsi="Arial"/>
          <w:sz w:val="20"/>
          <w:szCs w:val="20"/>
          <w:color w:val="auto"/>
        </w:rPr>
        <w:t>After you have submitted your proxy or voting instructions by Internet, telephone, or mail, you may revoke it at any time until it is voted at the Annual Meeting. Participation in the Annual Meeting will not cause your previously granted proxy to be revoked unless you specifically make that request.</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 revoke your proxy, follow the instructions below.</w:t>
      </w:r>
    </w:p>
    <w:p>
      <w:pPr>
        <w:spacing w:after="0" w:line="208" w:lineRule="exact"/>
        <w:rPr>
          <w:sz w:val="20"/>
          <w:szCs w:val="20"/>
          <w:color w:val="auto"/>
        </w:rPr>
      </w:pPr>
    </w:p>
    <w:tbl>
      <w:tblPr>
        <w:tblLayout w:type="fixed"/>
        <w:tblInd w:w="170" w:type="dxa"/>
        <w:tblCellMar>
          <w:top w:w="0" w:type="dxa"/>
          <w:left w:w="0" w:type="dxa"/>
          <w:bottom w:w="0" w:type="dxa"/>
          <w:right w:w="0" w:type="dxa"/>
        </w:tblCellMar>
      </w:tblPr>
      <w:tr>
        <w:trPr>
          <w:trHeight w:val="227"/>
        </w:trPr>
        <w:tc>
          <w:tcPr>
            <w:tcW w:w="5520" w:type="dxa"/>
            <w:vAlign w:val="bottom"/>
            <w:tcBorders>
              <w:top w:val="single" w:sz="8" w:color="auto"/>
              <w:left w:val="single" w:sz="8" w:color="auto"/>
              <w:right w:val="single" w:sz="8" w:color="auto"/>
            </w:tcBorders>
            <w:shd w:val="clear" w:color="auto" w:fill="0033A0"/>
          </w:tcPr>
          <w:p>
            <w:pPr>
              <w:ind w:left="1640"/>
              <w:spacing w:after="0" w:line="228" w:lineRule="exact"/>
              <w:rPr>
                <w:sz w:val="20"/>
                <w:szCs w:val="20"/>
                <w:color w:val="auto"/>
              </w:rPr>
            </w:pPr>
            <w:r>
              <w:rPr>
                <w:rFonts w:ascii="Arial" w:cs="Arial" w:eastAsia="Arial" w:hAnsi="Arial"/>
                <w:sz w:val="20"/>
                <w:szCs w:val="20"/>
                <w:b w:val="1"/>
                <w:bCs w:val="1"/>
                <w:color w:val="FFFFFF"/>
              </w:rPr>
              <w:t>Shareholders of Record</w:t>
            </w:r>
          </w:p>
        </w:tc>
        <w:tc>
          <w:tcPr>
            <w:tcW w:w="5420" w:type="dxa"/>
            <w:vAlign w:val="bottom"/>
            <w:tcBorders>
              <w:top w:val="single" w:sz="8" w:color="auto"/>
              <w:right w:val="single" w:sz="8" w:color="auto"/>
            </w:tcBorders>
            <w:shd w:val="clear" w:color="auto" w:fill="0033A0"/>
          </w:tcPr>
          <w:p>
            <w:pPr>
              <w:jc w:val="right"/>
              <w:ind w:right="1382"/>
              <w:spacing w:after="0" w:line="228" w:lineRule="exact"/>
              <w:rPr>
                <w:sz w:val="20"/>
                <w:szCs w:val="20"/>
                <w:color w:val="auto"/>
              </w:rPr>
            </w:pPr>
            <w:r>
              <w:rPr>
                <w:rFonts w:ascii="Arial" w:cs="Arial" w:eastAsia="Arial" w:hAnsi="Arial"/>
                <w:sz w:val="20"/>
                <w:szCs w:val="20"/>
                <w:b w:val="1"/>
                <w:bCs w:val="1"/>
                <w:color w:val="FFFFFF"/>
              </w:rPr>
              <w:t>Street Name Shareholders</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right w:val="single" w:sz="8" w:color="auto"/>
            </w:tcBorders>
          </w:tcPr>
          <w:p>
            <w:pPr>
              <w:ind w:left="260"/>
              <w:spacing w:after="0" w:line="210" w:lineRule="exact"/>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Grant  a  new  proxy  bearing  a  later  date  (which</w:t>
            </w:r>
          </w:p>
        </w:tc>
        <w:tc>
          <w:tcPr>
            <w:tcW w:w="5420" w:type="dxa"/>
            <w:vAlign w:val="bottom"/>
            <w:tcBorders>
              <w:right w:val="single" w:sz="8" w:color="auto"/>
            </w:tcBorders>
          </w:tcPr>
          <w:p>
            <w:pPr>
              <w:jc w:val="right"/>
              <w:spacing w:after="0" w:line="210" w:lineRule="exact"/>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Notify your broker, bank, or nominee in accordance with</w:t>
            </w:r>
          </w:p>
        </w:tc>
        <w:tc>
          <w:tcPr>
            <w:tcW w:w="0" w:type="dxa"/>
            <w:vAlign w:val="bottom"/>
          </w:tcPr>
          <w:p>
            <w:pPr>
              <w:spacing w:after="0"/>
              <w:rPr>
                <w:sz w:val="1"/>
                <w:szCs w:val="1"/>
                <w:color w:val="auto"/>
              </w:rPr>
            </w:pPr>
          </w:p>
        </w:tc>
      </w:tr>
      <w:tr>
        <w:trPr>
          <w:trHeight w:val="214"/>
        </w:trPr>
        <w:tc>
          <w:tcPr>
            <w:tcW w:w="5520" w:type="dxa"/>
            <w:vAlign w:val="bottom"/>
            <w:tcBorders>
              <w:left w:val="single" w:sz="8" w:color="auto"/>
              <w:right w:val="single" w:sz="8" w:color="auto"/>
            </w:tcBorders>
          </w:tcPr>
          <w:p>
            <w:pPr>
              <w:ind w:left="460"/>
              <w:spacing w:after="0" w:line="214" w:lineRule="exact"/>
              <w:rPr>
                <w:sz w:val="20"/>
                <w:szCs w:val="20"/>
                <w:color w:val="auto"/>
              </w:rPr>
            </w:pPr>
            <w:r>
              <w:rPr>
                <w:rFonts w:ascii="Arial" w:cs="Arial" w:eastAsia="Arial" w:hAnsi="Arial"/>
                <w:sz w:val="20"/>
                <w:szCs w:val="20"/>
                <w:color w:val="auto"/>
              </w:rPr>
              <w:t>automatically revokes the earlier proxy);</w:t>
            </w:r>
          </w:p>
        </w:tc>
        <w:tc>
          <w:tcPr>
            <w:tcW w:w="5420" w:type="dxa"/>
            <w:vAlign w:val="bottom"/>
            <w:tcBorders>
              <w:right w:val="single" w:sz="8" w:color="auto"/>
            </w:tcBorders>
          </w:tcPr>
          <w:p>
            <w:pPr>
              <w:jc w:val="right"/>
              <w:spacing w:after="0" w:line="214" w:lineRule="exact"/>
              <w:rPr>
                <w:sz w:val="20"/>
                <w:szCs w:val="20"/>
                <w:color w:val="auto"/>
              </w:rPr>
            </w:pPr>
            <w:r>
              <w:rPr>
                <w:rFonts w:ascii="Arial" w:cs="Arial" w:eastAsia="Arial" w:hAnsi="Arial"/>
                <w:sz w:val="20"/>
                <w:szCs w:val="20"/>
                <w:color w:val="auto"/>
              </w:rPr>
              <w:t>that  entity’s  procedures  for  revoking  your  voting</w:t>
            </w:r>
          </w:p>
        </w:tc>
        <w:tc>
          <w:tcPr>
            <w:tcW w:w="0" w:type="dxa"/>
            <w:vAlign w:val="bottom"/>
          </w:tcPr>
          <w:p>
            <w:pPr>
              <w:spacing w:after="0"/>
              <w:rPr>
                <w:sz w:val="1"/>
                <w:szCs w:val="1"/>
                <w:color w:val="auto"/>
              </w:rPr>
            </w:pPr>
          </w:p>
        </w:tc>
      </w:tr>
      <w:tr>
        <w:trPr>
          <w:trHeight w:val="235"/>
        </w:trPr>
        <w:tc>
          <w:tcPr>
            <w:tcW w:w="552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Send a written notice of revocation to the General</w:t>
            </w:r>
          </w:p>
        </w:tc>
        <w:tc>
          <w:tcPr>
            <w:tcW w:w="542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instructions; or</w:t>
            </w:r>
          </w:p>
        </w:tc>
        <w:tc>
          <w:tcPr>
            <w:tcW w:w="0" w:type="dxa"/>
            <w:vAlign w:val="bottom"/>
          </w:tcPr>
          <w:p>
            <w:pPr>
              <w:spacing w:after="0"/>
              <w:rPr>
                <w:sz w:val="1"/>
                <w:szCs w:val="1"/>
                <w:color w:val="auto"/>
              </w:rPr>
            </w:pPr>
          </w:p>
        </w:tc>
      </w:tr>
      <w:tr>
        <w:trPr>
          <w:trHeight w:val="59"/>
        </w:trPr>
        <w:tc>
          <w:tcPr>
            <w:tcW w:w="5520" w:type="dxa"/>
            <w:vAlign w:val="bottom"/>
            <w:tcBorders>
              <w:left w:val="single" w:sz="8" w:color="auto"/>
              <w:right w:val="single" w:sz="8" w:color="auto"/>
            </w:tcBorders>
            <w:vMerge w:val="continue"/>
          </w:tcPr>
          <w:p>
            <w:pPr>
              <w:spacing w:after="0"/>
              <w:rPr>
                <w:sz w:val="5"/>
                <w:szCs w:val="5"/>
                <w:color w:val="auto"/>
              </w:rPr>
            </w:pPr>
          </w:p>
        </w:tc>
        <w:tc>
          <w:tcPr>
            <w:tcW w:w="5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520" w:type="dxa"/>
            <w:vAlign w:val="bottom"/>
            <w:tcBorders>
              <w:left w:val="single" w:sz="8" w:color="auto"/>
              <w:right w:val="single" w:sz="8" w:color="auto"/>
            </w:tcBorders>
          </w:tcPr>
          <w:p>
            <w:pPr>
              <w:ind w:left="460"/>
              <w:spacing w:after="0" w:line="214" w:lineRule="exact"/>
              <w:rPr>
                <w:sz w:val="20"/>
                <w:szCs w:val="20"/>
                <w:color w:val="auto"/>
              </w:rPr>
            </w:pPr>
            <w:r>
              <w:rPr>
                <w:rFonts w:ascii="Arial" w:cs="Arial" w:eastAsia="Arial" w:hAnsi="Arial"/>
                <w:sz w:val="20"/>
                <w:szCs w:val="20"/>
                <w:color w:val="auto"/>
              </w:rPr>
              <w:t>Motors Company Corporate Secretary at Mail Code</w:t>
            </w:r>
          </w:p>
        </w:tc>
        <w:tc>
          <w:tcPr>
            <w:tcW w:w="5420" w:type="dxa"/>
            <w:vAlign w:val="bottom"/>
            <w:tcBorders>
              <w:right w:val="single" w:sz="8" w:color="auto"/>
            </w:tcBorders>
          </w:tcPr>
          <w:p>
            <w:pPr>
              <w:jc w:val="right"/>
              <w:spacing w:after="0" w:line="214" w:lineRule="exact"/>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Participate in the meeting and electronically vote your</w:t>
            </w:r>
          </w:p>
        </w:tc>
        <w:tc>
          <w:tcPr>
            <w:tcW w:w="0" w:type="dxa"/>
            <w:vAlign w:val="bottom"/>
          </w:tcPr>
          <w:p>
            <w:pPr>
              <w:spacing w:after="0"/>
              <w:rPr>
                <w:sz w:val="1"/>
                <w:szCs w:val="1"/>
                <w:color w:val="auto"/>
              </w:rPr>
            </w:pPr>
          </w:p>
        </w:tc>
      </w:tr>
      <w:tr>
        <w:trPr>
          <w:trHeight w:val="214"/>
        </w:trPr>
        <w:tc>
          <w:tcPr>
            <w:tcW w:w="5520" w:type="dxa"/>
            <w:vAlign w:val="bottom"/>
            <w:tcBorders>
              <w:left w:val="single" w:sz="8" w:color="auto"/>
              <w:right w:val="single" w:sz="8" w:color="auto"/>
            </w:tcBorders>
          </w:tcPr>
          <w:p>
            <w:pPr>
              <w:ind w:left="460"/>
              <w:spacing w:after="0" w:line="214" w:lineRule="exact"/>
              <w:rPr>
                <w:sz w:val="20"/>
                <w:szCs w:val="20"/>
                <w:color w:val="auto"/>
              </w:rPr>
            </w:pPr>
            <w:r>
              <w:rPr>
                <w:rFonts w:ascii="Arial" w:cs="Arial" w:eastAsia="Arial" w:hAnsi="Arial"/>
                <w:sz w:val="20"/>
                <w:szCs w:val="20"/>
                <w:color w:val="auto"/>
              </w:rPr>
              <w:t>482-C24-A68,   300   Renaissance   Center,   Detroit,</w:t>
            </w:r>
          </w:p>
        </w:tc>
        <w:tc>
          <w:tcPr>
            <w:tcW w:w="5420" w:type="dxa"/>
            <w:vAlign w:val="bottom"/>
            <w:tcBorders>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shares during the meeting.</w:t>
            </w:r>
          </w:p>
        </w:tc>
        <w:tc>
          <w:tcPr>
            <w:tcW w:w="0" w:type="dxa"/>
            <w:vAlign w:val="bottom"/>
          </w:tcPr>
          <w:p>
            <w:pPr>
              <w:spacing w:after="0"/>
              <w:rPr>
                <w:sz w:val="1"/>
                <w:szCs w:val="1"/>
                <w:color w:val="auto"/>
              </w:rPr>
            </w:pPr>
          </w:p>
        </w:tc>
      </w:tr>
      <w:tr>
        <w:trPr>
          <w:trHeight w:val="235"/>
        </w:trPr>
        <w:tc>
          <w:tcPr>
            <w:tcW w:w="552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Michigan 48265;</w:t>
            </w:r>
          </w:p>
        </w:tc>
        <w:tc>
          <w:tcPr>
            <w:tcW w:w="5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5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E-mail  the  General  Motors  Company  Corporate</w:t>
            </w:r>
          </w:p>
        </w:tc>
        <w:tc>
          <w:tcPr>
            <w:tcW w:w="5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 xml:space="preserve">Secretary at </w:t>
            </w:r>
            <w:r>
              <w:rPr>
                <w:rFonts w:ascii="Arial" w:cs="Arial" w:eastAsia="Arial" w:hAnsi="Arial"/>
                <w:sz w:val="20"/>
                <w:szCs w:val="20"/>
                <w:i w:val="1"/>
                <w:iCs w:val="1"/>
                <w:color w:val="auto"/>
              </w:rPr>
              <w:t>shareholder.relations@gm.com</w:t>
            </w:r>
            <w:r>
              <w:rPr>
                <w:rFonts w:ascii="Arial" w:cs="Arial" w:eastAsia="Arial" w:hAnsi="Arial"/>
                <w:sz w:val="20"/>
                <w:szCs w:val="20"/>
                <w:color w:val="auto"/>
              </w:rPr>
              <w:t>; or</w:t>
            </w:r>
          </w:p>
        </w:tc>
        <w:tc>
          <w:tcPr>
            <w:tcW w:w="5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5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0033A0"/>
              </w:rPr>
              <w:t xml:space="preserve">• </w:t>
            </w:r>
            <w:r>
              <w:rPr>
                <w:rFonts w:ascii="Arial" w:cs="Arial" w:eastAsia="Arial" w:hAnsi="Arial"/>
                <w:sz w:val="20"/>
                <w:szCs w:val="20"/>
                <w:color w:val="000000"/>
              </w:rPr>
              <w:t>Participate in the Annual Meeting and vote your shares</w:t>
            </w:r>
          </w:p>
        </w:tc>
        <w:tc>
          <w:tcPr>
            <w:tcW w:w="5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520" w:type="dxa"/>
            <w:vAlign w:val="bottom"/>
            <w:tcBorders>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20"/>
                <w:szCs w:val="20"/>
                <w:color w:val="auto"/>
              </w:rPr>
              <w:t>electronically during the meeting.</w:t>
            </w:r>
          </w:p>
        </w:tc>
        <w:tc>
          <w:tcPr>
            <w:tcW w:w="5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1">
            <w:col w:w="11140"/>
          </w:cols>
          <w:pgMar w:left="320" w:top="456" w:right="439" w:bottom="1440" w:gutter="0" w:footer="0" w:header="0"/>
        </w:sectPr>
      </w:pPr>
    </w:p>
    <w:p>
      <w:pPr>
        <w:ind w:left="160"/>
        <w:spacing w:after="0"/>
        <w:rPr>
          <w:sz w:val="20"/>
          <w:szCs w:val="20"/>
          <w:color w:val="auto"/>
        </w:rPr>
      </w:pPr>
      <w:r>
        <w:rPr>
          <w:rFonts w:ascii="Arial" w:cs="Arial" w:eastAsia="Arial" w:hAnsi="Arial"/>
          <w:sz w:val="12"/>
          <w:szCs w:val="12"/>
          <w:color w:val="0033A0"/>
        </w:rPr>
        <w:t xml:space="preserve">100 </w:t>
      </w:r>
      <w:r>
        <w:rPr>
          <w:sz w:val="1"/>
          <w:szCs w:val="1"/>
          <w:color w:val="auto"/>
        </w:rPr>
        <w:drawing>
          <wp:inline distT="0" distB="0" distL="0" distR="0">
            <wp:extent cx="6793865" cy="10160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60"/>
        </w:numPr>
        <w:rPr>
          <w:rFonts w:ascii="Arial" w:cs="Arial" w:eastAsia="Arial" w:hAnsi="Arial"/>
          <w:sz w:val="25"/>
          <w:szCs w:val="25"/>
          <w:color w:val="0033A0"/>
        </w:rPr>
      </w:pPr>
      <w:r>
        <w:rPr>
          <w:rFonts w:ascii="Arial" w:cs="Arial" w:eastAsia="Arial" w:hAnsi="Arial"/>
          <w:sz w:val="25"/>
          <w:szCs w:val="25"/>
          <w:color w:val="auto"/>
        </w:rPr>
        <w:t>Annual Meeting Voting Results</w:t>
      </w:r>
    </w:p>
    <w:p>
      <w:pPr>
        <w:spacing w:after="0" w:line="176" w:lineRule="exact"/>
        <w:rPr>
          <w:sz w:val="20"/>
          <w:szCs w:val="20"/>
          <w:color w:val="auto"/>
        </w:rPr>
      </w:pPr>
    </w:p>
    <w:p>
      <w:pPr>
        <w:ind w:left="160" w:right="120"/>
        <w:spacing w:after="0" w:line="234" w:lineRule="auto"/>
        <w:rPr>
          <w:sz w:val="20"/>
          <w:szCs w:val="20"/>
          <w:color w:val="auto"/>
        </w:rPr>
      </w:pPr>
      <w:r>
        <w:rPr>
          <w:rFonts w:ascii="Arial" w:cs="Arial" w:eastAsia="Arial" w:hAnsi="Arial"/>
          <w:sz w:val="20"/>
          <w:szCs w:val="20"/>
          <w:color w:val="auto"/>
        </w:rPr>
        <w:t>Our independent inspector of elections, Broadridge Financial Services, Inc., will tabulate the vote at the Annual Meeting. We will provide voting results on our website and in a Current Report on Form 8-K filed with the SEC.</w:t>
      </w:r>
    </w:p>
    <w:p>
      <w:pPr>
        <w:spacing w:after="0" w:line="346" w:lineRule="exact"/>
        <w:rPr>
          <w:sz w:val="20"/>
          <w:szCs w:val="20"/>
          <w:color w:val="auto"/>
        </w:rPr>
      </w:pPr>
    </w:p>
    <w:p>
      <w:pPr>
        <w:ind w:left="700" w:hanging="533"/>
        <w:spacing w:after="0"/>
        <w:tabs>
          <w:tab w:leader="none" w:pos="700" w:val="left"/>
        </w:tabs>
        <w:numPr>
          <w:ilvl w:val="0"/>
          <w:numId w:val="161"/>
        </w:numPr>
        <w:rPr>
          <w:rFonts w:ascii="Arial" w:cs="Arial" w:eastAsia="Arial" w:hAnsi="Arial"/>
          <w:sz w:val="25"/>
          <w:szCs w:val="25"/>
          <w:color w:val="0033A0"/>
        </w:rPr>
      </w:pPr>
      <w:r>
        <w:rPr>
          <w:rFonts w:ascii="Arial" w:cs="Arial" w:eastAsia="Arial" w:hAnsi="Arial"/>
          <w:sz w:val="25"/>
          <w:szCs w:val="25"/>
          <w:color w:val="auto"/>
        </w:rPr>
        <w:t>“Shareholder of Record” and “Beneficial Shareholder”</w:t>
      </w:r>
    </w:p>
    <w:p>
      <w:pPr>
        <w:spacing w:after="0" w:line="189" w:lineRule="exact"/>
        <w:rPr>
          <w:sz w:val="20"/>
          <w:szCs w:val="20"/>
          <w:color w:val="auto"/>
        </w:rPr>
      </w:pPr>
    </w:p>
    <w:p>
      <w:pPr>
        <w:jc w:val="both"/>
        <w:ind w:left="160" w:right="100"/>
        <w:spacing w:after="0" w:line="236" w:lineRule="auto"/>
        <w:rPr>
          <w:sz w:val="20"/>
          <w:szCs w:val="20"/>
          <w:color w:val="auto"/>
        </w:rPr>
      </w:pPr>
      <w:r>
        <w:rPr>
          <w:rFonts w:ascii="Arial" w:cs="Arial" w:eastAsia="Arial" w:hAnsi="Arial"/>
          <w:sz w:val="19"/>
          <w:szCs w:val="19"/>
          <w:color w:val="auto"/>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19"/>
          <w:szCs w:val="19"/>
          <w:b w:val="1"/>
          <w:bCs w:val="1"/>
          <w:u w:val="single" w:color="auto"/>
          <w:color w:val="auto"/>
        </w:rPr>
        <w:t>must</w:t>
      </w:r>
      <w:r>
        <w:rPr>
          <w:rFonts w:ascii="Arial" w:cs="Arial" w:eastAsia="Arial" w:hAnsi="Arial"/>
          <w:sz w:val="19"/>
          <w:szCs w:val="19"/>
          <w:color w:val="auto"/>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4 (“Ratification of the Selection of the Independent Registered Public Accounting Firm for 2020”) even if you do not provide voting instructions because it is considered a routine matter. </w:t>
      </w:r>
      <w:r>
        <w:rPr>
          <w:rFonts w:ascii="Arial" w:cs="Arial" w:eastAsia="Arial" w:hAnsi="Arial"/>
          <w:sz w:val="19"/>
          <w:szCs w:val="19"/>
          <w:b w:val="1"/>
          <w:bCs w:val="1"/>
          <w:color w:val="auto"/>
        </w:rPr>
        <w:t>Your broker is not permitted to vote on the other agenda Items if you do not</w:t>
      </w:r>
      <w:r>
        <w:rPr>
          <w:rFonts w:ascii="Arial" w:cs="Arial" w:eastAsia="Arial" w:hAnsi="Arial"/>
          <w:sz w:val="19"/>
          <w:szCs w:val="19"/>
          <w:color w:val="auto"/>
        </w:rPr>
        <w:t xml:space="preserve"> </w:t>
      </w:r>
      <w:r>
        <w:rPr>
          <w:rFonts w:ascii="Arial" w:cs="Arial" w:eastAsia="Arial" w:hAnsi="Arial"/>
          <w:sz w:val="19"/>
          <w:szCs w:val="19"/>
          <w:b w:val="1"/>
          <w:bCs w:val="1"/>
          <w:color w:val="auto"/>
        </w:rPr>
        <w:t>provide voting instructions because those items involve matters that are considered nonroutine.</w:t>
      </w:r>
    </w:p>
    <w:p>
      <w:pPr>
        <w:spacing w:after="0" w:line="355" w:lineRule="exact"/>
        <w:rPr>
          <w:sz w:val="20"/>
          <w:szCs w:val="20"/>
          <w:color w:val="auto"/>
        </w:rPr>
      </w:pPr>
    </w:p>
    <w:p>
      <w:pPr>
        <w:ind w:left="700" w:hanging="533"/>
        <w:spacing w:after="0"/>
        <w:tabs>
          <w:tab w:leader="none" w:pos="700" w:val="left"/>
        </w:tabs>
        <w:numPr>
          <w:ilvl w:val="0"/>
          <w:numId w:val="162"/>
        </w:numPr>
        <w:rPr>
          <w:rFonts w:ascii="Arial" w:cs="Arial" w:eastAsia="Arial" w:hAnsi="Arial"/>
          <w:sz w:val="25"/>
          <w:szCs w:val="25"/>
          <w:color w:val="0033A0"/>
        </w:rPr>
      </w:pPr>
      <w:r>
        <w:rPr>
          <w:rFonts w:ascii="Arial" w:cs="Arial" w:eastAsia="Arial" w:hAnsi="Arial"/>
          <w:sz w:val="25"/>
          <w:szCs w:val="25"/>
          <w:color w:val="auto"/>
        </w:rPr>
        <w:t>Householding</w:t>
      </w:r>
    </w:p>
    <w:p>
      <w:pPr>
        <w:spacing w:after="0" w:line="176" w:lineRule="exact"/>
        <w:rPr>
          <w:sz w:val="20"/>
          <w:szCs w:val="20"/>
          <w:color w:val="auto"/>
        </w:rPr>
      </w:pPr>
    </w:p>
    <w:p>
      <w:pPr>
        <w:jc w:val="both"/>
        <w:ind w:left="160" w:right="100"/>
        <w:spacing w:after="0" w:line="227" w:lineRule="auto"/>
        <w:rPr>
          <w:sz w:val="20"/>
          <w:szCs w:val="20"/>
          <w:color w:val="auto"/>
        </w:rPr>
      </w:pPr>
      <w:r>
        <w:rPr>
          <w:rFonts w:ascii="Arial" w:cs="Arial" w:eastAsia="Arial" w:hAnsi="Arial"/>
          <w:sz w:val="20"/>
          <w:szCs w:val="20"/>
          <w:color w:val="auto"/>
        </w:rPr>
        <w:t>SEC rules permit companies to send a single Proxy Statement and Annual Report or Notice to two or more shareholders that share the same address, subject to certain conditions. Each shareholder will continue to receive a separate proxy card, voting instruction form, or Notice,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156" w:lineRule="exact"/>
        <w:rPr>
          <w:sz w:val="20"/>
          <w:szCs w:val="20"/>
          <w:color w:val="auto"/>
        </w:rPr>
      </w:pPr>
    </w:p>
    <w:p>
      <w:pPr>
        <w:jc w:val="both"/>
        <w:ind w:left="160" w:right="100"/>
        <w:spacing w:after="0" w:line="241" w:lineRule="auto"/>
        <w:rPr>
          <w:sz w:val="20"/>
          <w:szCs w:val="20"/>
          <w:color w:val="auto"/>
        </w:rPr>
      </w:pPr>
      <w:r>
        <w:rPr>
          <w:rFonts w:ascii="Arial" w:cs="Arial" w:eastAsia="Arial" w:hAnsi="Arial"/>
          <w:sz w:val="19"/>
          <w:szCs w:val="19"/>
          <w:color w:val="auto"/>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 Financial Solutions, Inc., by calling toll-free at 866-540-7095 or by writing to Broadridge Financial Solutions, Inc., Householding Department, 51 Mercedes Way, Edgewood, New York 11717.</w:t>
      </w:r>
    </w:p>
    <w:p>
      <w:pPr>
        <w:spacing w:after="0" w:line="166" w:lineRule="exact"/>
        <w:rPr>
          <w:sz w:val="20"/>
          <w:szCs w:val="20"/>
          <w:color w:val="auto"/>
        </w:rPr>
      </w:pPr>
    </w:p>
    <w:p>
      <w:pPr>
        <w:jc w:val="both"/>
        <w:ind w:left="160" w:right="120"/>
        <w:spacing w:after="0" w:line="230" w:lineRule="auto"/>
        <w:rPr>
          <w:sz w:val="20"/>
          <w:szCs w:val="20"/>
          <w:color w:val="auto"/>
        </w:rPr>
      </w:pPr>
      <w:r>
        <w:rPr>
          <w:rFonts w:ascii="Arial" w:cs="Arial" w:eastAsia="Arial" w:hAnsi="Arial"/>
          <w:sz w:val="20"/>
          <w:szCs w:val="20"/>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101</w:t>
      </w:r>
    </w:p>
    <w:p>
      <w:pPr>
        <w:sectPr>
          <w:pgSz w:w="11900" w:h="16838" w:orient="portrait"/>
          <w:cols w:equalWidth="0" w:num="1">
            <w:col w:w="11180"/>
          </w:cols>
          <w:pgMar w:left="320" w:top="456" w:right="3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63"/>
        </w:numPr>
        <w:rPr>
          <w:rFonts w:ascii="Arial" w:cs="Arial" w:eastAsia="Arial" w:hAnsi="Arial"/>
          <w:sz w:val="25"/>
          <w:szCs w:val="25"/>
          <w:color w:val="0033A0"/>
        </w:rPr>
      </w:pPr>
      <w:r>
        <w:rPr>
          <w:rFonts w:ascii="Arial" w:cs="Arial" w:eastAsia="Arial" w:hAnsi="Arial"/>
          <w:sz w:val="25"/>
          <w:szCs w:val="25"/>
          <w:color w:val="auto"/>
        </w:rPr>
        <w:t>Shareholder Proposals and Director Nominations for the 2021 Annual Meeting</w:t>
      </w:r>
    </w:p>
    <w:p>
      <w:pPr>
        <w:spacing w:after="0" w:line="199" w:lineRule="exact"/>
        <w:rPr>
          <w:sz w:val="20"/>
          <w:szCs w:val="20"/>
          <w:color w:val="auto"/>
        </w:rPr>
      </w:pPr>
    </w:p>
    <w:tbl>
      <w:tblPr>
        <w:tblLayout w:type="fixed"/>
        <w:tblInd w:w="170" w:type="dxa"/>
        <w:tblCellMar>
          <w:top w:w="0" w:type="dxa"/>
          <w:left w:w="0" w:type="dxa"/>
          <w:bottom w:w="0" w:type="dxa"/>
          <w:right w:w="0" w:type="dxa"/>
        </w:tblCellMar>
      </w:tblPr>
      <w:tr>
        <w:trPr>
          <w:trHeight w:val="200"/>
        </w:trPr>
        <w:tc>
          <w:tcPr>
            <w:tcW w:w="2380" w:type="dxa"/>
            <w:vAlign w:val="bottom"/>
            <w:tcBorders>
              <w:top w:val="single" w:sz="8" w:color="00A1DF"/>
              <w:left w:val="single" w:sz="8" w:color="00A1DF"/>
              <w:right w:val="single" w:sz="8" w:color="auto"/>
            </w:tcBorders>
          </w:tcPr>
          <w:p>
            <w:pPr>
              <w:ind w:left="240"/>
              <w:spacing w:after="0" w:line="200" w:lineRule="exact"/>
              <w:rPr>
                <w:sz w:val="20"/>
                <w:szCs w:val="20"/>
                <w:color w:val="auto"/>
              </w:rPr>
            </w:pPr>
            <w:r>
              <w:rPr>
                <w:rFonts w:ascii="Arial" w:cs="Arial" w:eastAsia="Arial" w:hAnsi="Arial"/>
                <w:sz w:val="20"/>
                <w:szCs w:val="20"/>
                <w:b w:val="1"/>
                <w:bCs w:val="1"/>
                <w:color w:val="00A1DF"/>
              </w:rPr>
              <w:t>Type of Proposal</w:t>
            </w:r>
          </w:p>
        </w:tc>
        <w:tc>
          <w:tcPr>
            <w:tcW w:w="3040" w:type="dxa"/>
            <w:vAlign w:val="bottom"/>
            <w:tcBorders>
              <w:top w:val="single" w:sz="8" w:color="00A1DF"/>
              <w:right w:val="single" w:sz="8" w:color="auto"/>
            </w:tcBorders>
            <w:gridSpan w:val="6"/>
          </w:tcPr>
          <w:p>
            <w:pPr>
              <w:jc w:val="center"/>
              <w:spacing w:after="0" w:line="200" w:lineRule="exact"/>
              <w:rPr>
                <w:sz w:val="20"/>
                <w:szCs w:val="20"/>
                <w:color w:val="auto"/>
              </w:rPr>
            </w:pPr>
            <w:r>
              <w:rPr>
                <w:rFonts w:ascii="Arial" w:cs="Arial" w:eastAsia="Arial" w:hAnsi="Arial"/>
                <w:sz w:val="20"/>
                <w:szCs w:val="20"/>
                <w:b w:val="1"/>
                <w:bCs w:val="1"/>
                <w:color w:val="auto"/>
                <w:w w:val="98"/>
              </w:rPr>
              <w:t>Rule 14a-8 Proposals by</w:t>
            </w:r>
          </w:p>
        </w:tc>
        <w:tc>
          <w:tcPr>
            <w:tcW w:w="2360" w:type="dxa"/>
            <w:vAlign w:val="bottom"/>
            <w:tcBorders>
              <w:top w:val="single" w:sz="8" w:color="00A1DF"/>
            </w:tcBorders>
            <w:gridSpan w:val="6"/>
          </w:tcPr>
          <w:p>
            <w:pPr>
              <w:ind w:left="120"/>
              <w:spacing w:after="0" w:line="200" w:lineRule="exact"/>
              <w:rPr>
                <w:sz w:val="20"/>
                <w:szCs w:val="20"/>
                <w:color w:val="auto"/>
              </w:rPr>
            </w:pPr>
            <w:r>
              <w:rPr>
                <w:rFonts w:ascii="Arial" w:cs="Arial" w:eastAsia="Arial" w:hAnsi="Arial"/>
                <w:sz w:val="20"/>
                <w:szCs w:val="20"/>
                <w:b w:val="1"/>
                <w:bCs w:val="1"/>
                <w:color w:val="auto"/>
              </w:rPr>
              <w:t>Director Nominees for</w:t>
            </w:r>
          </w:p>
        </w:tc>
        <w:tc>
          <w:tcPr>
            <w:tcW w:w="540" w:type="dxa"/>
            <w:vAlign w:val="bottom"/>
            <w:tcBorders>
              <w:top w:val="single" w:sz="8" w:color="00A1DF"/>
              <w:right w:val="single" w:sz="8" w:color="auto"/>
            </w:tcBorders>
          </w:tcPr>
          <w:p>
            <w:pPr>
              <w:spacing w:after="0"/>
              <w:rPr>
                <w:sz w:val="17"/>
                <w:szCs w:val="17"/>
                <w:color w:val="auto"/>
              </w:rPr>
            </w:pPr>
          </w:p>
        </w:tc>
        <w:tc>
          <w:tcPr>
            <w:tcW w:w="1900" w:type="dxa"/>
            <w:vAlign w:val="bottom"/>
            <w:tcBorders>
              <w:top w:val="single" w:sz="8" w:color="00A1DF"/>
            </w:tcBorders>
            <w:gridSpan w:val="3"/>
          </w:tcPr>
          <w:p>
            <w:pPr>
              <w:ind w:left="120"/>
              <w:spacing w:after="0" w:line="200" w:lineRule="exact"/>
              <w:rPr>
                <w:sz w:val="20"/>
                <w:szCs w:val="20"/>
                <w:color w:val="auto"/>
              </w:rPr>
            </w:pPr>
            <w:r>
              <w:rPr>
                <w:rFonts w:ascii="Arial" w:cs="Arial" w:eastAsia="Arial" w:hAnsi="Arial"/>
                <w:sz w:val="20"/>
                <w:szCs w:val="20"/>
                <w:b w:val="1"/>
                <w:bCs w:val="1"/>
                <w:color w:val="auto"/>
                <w:w w:val="97"/>
              </w:rPr>
              <w:t>Other Proposals or</w:t>
            </w:r>
          </w:p>
        </w:tc>
        <w:tc>
          <w:tcPr>
            <w:tcW w:w="360" w:type="dxa"/>
            <w:vAlign w:val="bottom"/>
            <w:tcBorders>
              <w:top w:val="single" w:sz="8" w:color="00A1DF"/>
            </w:tcBorders>
          </w:tcPr>
          <w:p>
            <w:pPr>
              <w:spacing w:after="0"/>
              <w:rPr>
                <w:sz w:val="17"/>
                <w:szCs w:val="17"/>
                <w:color w:val="auto"/>
              </w:rPr>
            </w:pPr>
          </w:p>
        </w:tc>
        <w:tc>
          <w:tcPr>
            <w:tcW w:w="360" w:type="dxa"/>
            <w:vAlign w:val="bottom"/>
            <w:tcBorders>
              <w:top w:val="single" w:sz="8" w:color="00A1DF"/>
              <w:right w:val="single" w:sz="8" w:color="00A1D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4"/>
          </w:tcPr>
          <w:p>
            <w:pPr>
              <w:jc w:val="center"/>
              <w:ind w:right="22"/>
              <w:spacing w:after="0" w:line="214" w:lineRule="exact"/>
              <w:rPr>
                <w:sz w:val="20"/>
                <w:szCs w:val="20"/>
                <w:color w:val="auto"/>
              </w:rPr>
            </w:pPr>
            <w:r>
              <w:rPr>
                <w:rFonts w:ascii="Arial" w:cs="Arial" w:eastAsia="Arial" w:hAnsi="Arial"/>
                <w:sz w:val="20"/>
                <w:szCs w:val="20"/>
                <w:b w:val="1"/>
                <w:bCs w:val="1"/>
                <w:color w:val="auto"/>
                <w:w w:val="96"/>
              </w:rPr>
              <w:t>Shareholders</w:t>
            </w:r>
          </w:p>
        </w:tc>
        <w:tc>
          <w:tcPr>
            <w:tcW w:w="780" w:type="dxa"/>
            <w:vAlign w:val="bottom"/>
            <w:tcBorders>
              <w:right w:val="single" w:sz="8" w:color="auto"/>
            </w:tcBorders>
          </w:tcPr>
          <w:p>
            <w:pPr>
              <w:spacing w:after="0"/>
              <w:rPr>
                <w:sz w:val="18"/>
                <w:szCs w:val="18"/>
                <w:color w:val="auto"/>
              </w:rPr>
            </w:pPr>
          </w:p>
        </w:tc>
        <w:tc>
          <w:tcPr>
            <w:tcW w:w="2360" w:type="dxa"/>
            <w:vAlign w:val="bottom"/>
            <w:gridSpan w:val="6"/>
          </w:tcPr>
          <w:p>
            <w:pPr>
              <w:ind w:left="120"/>
              <w:spacing w:after="0" w:line="214" w:lineRule="exact"/>
              <w:rPr>
                <w:sz w:val="20"/>
                <w:szCs w:val="20"/>
                <w:color w:val="auto"/>
              </w:rPr>
            </w:pPr>
            <w:r>
              <w:rPr>
                <w:rFonts w:ascii="Arial" w:cs="Arial" w:eastAsia="Arial" w:hAnsi="Arial"/>
                <w:sz w:val="20"/>
                <w:szCs w:val="20"/>
                <w:b w:val="1"/>
                <w:bCs w:val="1"/>
                <w:color w:val="auto"/>
                <w:w w:val="98"/>
              </w:rPr>
              <w:t>Inclusion in Next Year’s</w:t>
            </w:r>
          </w:p>
        </w:tc>
        <w:tc>
          <w:tcPr>
            <w:tcW w:w="540" w:type="dxa"/>
            <w:vAlign w:val="bottom"/>
            <w:tcBorders>
              <w:right w:val="single" w:sz="8" w:color="auto"/>
            </w:tcBorders>
          </w:tcPr>
          <w:p>
            <w:pPr>
              <w:spacing w:after="0"/>
              <w:rPr>
                <w:sz w:val="18"/>
                <w:szCs w:val="18"/>
                <w:color w:val="auto"/>
              </w:rPr>
            </w:pPr>
          </w:p>
        </w:tc>
        <w:tc>
          <w:tcPr>
            <w:tcW w:w="1900" w:type="dxa"/>
            <w:vAlign w:val="bottom"/>
            <w:gridSpan w:val="3"/>
          </w:tcPr>
          <w:p>
            <w:pPr>
              <w:ind w:left="120"/>
              <w:spacing w:after="0" w:line="214" w:lineRule="exact"/>
              <w:rPr>
                <w:sz w:val="20"/>
                <w:szCs w:val="20"/>
                <w:color w:val="auto"/>
              </w:rPr>
            </w:pPr>
            <w:r>
              <w:rPr>
                <w:rFonts w:ascii="Arial" w:cs="Arial" w:eastAsia="Arial" w:hAnsi="Arial"/>
                <w:sz w:val="20"/>
                <w:szCs w:val="20"/>
                <w:b w:val="1"/>
                <w:bCs w:val="1"/>
                <w:color w:val="auto"/>
              </w:rPr>
              <w:t>Nominees for</w:t>
            </w:r>
          </w:p>
        </w:tc>
        <w:tc>
          <w:tcPr>
            <w:tcW w:w="360" w:type="dxa"/>
            <w:vAlign w:val="bottom"/>
          </w:tcPr>
          <w:p>
            <w:pPr>
              <w:spacing w:after="0"/>
              <w:rPr>
                <w:sz w:val="18"/>
                <w:szCs w:val="18"/>
                <w:color w:val="auto"/>
              </w:rPr>
            </w:pPr>
          </w:p>
        </w:tc>
        <w:tc>
          <w:tcPr>
            <w:tcW w:w="360" w:type="dxa"/>
            <w:vAlign w:val="bottom"/>
            <w:tcBorders>
              <w:right w:val="single" w:sz="8" w:color="00A1D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3040" w:type="dxa"/>
            <w:vAlign w:val="bottom"/>
            <w:tcBorders>
              <w:right w:val="single" w:sz="8" w:color="auto"/>
            </w:tcBorders>
            <w:gridSpan w:val="6"/>
          </w:tcPr>
          <w:p>
            <w:pPr>
              <w:jc w:val="center"/>
              <w:spacing w:after="0" w:line="214" w:lineRule="exact"/>
              <w:rPr>
                <w:sz w:val="20"/>
                <w:szCs w:val="20"/>
                <w:color w:val="auto"/>
              </w:rPr>
            </w:pPr>
            <w:r>
              <w:rPr>
                <w:rFonts w:ascii="Arial" w:cs="Arial" w:eastAsia="Arial" w:hAnsi="Arial"/>
                <w:sz w:val="20"/>
                <w:szCs w:val="20"/>
                <w:b w:val="1"/>
                <w:bCs w:val="1"/>
                <w:color w:val="auto"/>
                <w:w w:val="97"/>
              </w:rPr>
              <w:t>for Inclusion in Next</w:t>
            </w:r>
          </w:p>
        </w:tc>
        <w:tc>
          <w:tcPr>
            <w:tcW w:w="1660" w:type="dxa"/>
            <w:vAlign w:val="bottom"/>
            <w:gridSpan w:val="4"/>
          </w:tcPr>
          <w:p>
            <w:pPr>
              <w:ind w:left="120"/>
              <w:spacing w:after="0" w:line="214" w:lineRule="exact"/>
              <w:rPr>
                <w:sz w:val="20"/>
                <w:szCs w:val="20"/>
                <w:color w:val="auto"/>
              </w:rPr>
            </w:pPr>
            <w:r>
              <w:rPr>
                <w:rFonts w:ascii="Arial" w:cs="Arial" w:eastAsia="Arial" w:hAnsi="Arial"/>
                <w:sz w:val="20"/>
                <w:szCs w:val="20"/>
                <w:b w:val="1"/>
                <w:bCs w:val="1"/>
                <w:color w:val="auto"/>
                <w:w w:val="96"/>
              </w:rPr>
              <w:t>Proxy Statement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260" w:type="dxa"/>
            <w:vAlign w:val="bottom"/>
            <w:gridSpan w:val="4"/>
          </w:tcPr>
          <w:p>
            <w:pPr>
              <w:ind w:left="120"/>
              <w:spacing w:after="0" w:line="214" w:lineRule="exact"/>
              <w:rPr>
                <w:sz w:val="20"/>
                <w:szCs w:val="20"/>
                <w:color w:val="auto"/>
              </w:rPr>
            </w:pPr>
            <w:r>
              <w:rPr>
                <w:rFonts w:ascii="Arial" w:cs="Arial" w:eastAsia="Arial" w:hAnsi="Arial"/>
                <w:sz w:val="20"/>
                <w:szCs w:val="20"/>
                <w:b w:val="1"/>
                <w:bCs w:val="1"/>
                <w:color w:val="auto"/>
                <w:w w:val="97"/>
              </w:rPr>
              <w:t>Representation at Next</w:t>
            </w:r>
          </w:p>
        </w:tc>
        <w:tc>
          <w:tcPr>
            <w:tcW w:w="360" w:type="dxa"/>
            <w:vAlign w:val="bottom"/>
            <w:tcBorders>
              <w:right w:val="single" w:sz="8" w:color="00A1DF"/>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380" w:type="dxa"/>
            <w:vAlign w:val="bottom"/>
            <w:tcBorders>
              <w:left w:val="single" w:sz="8" w:color="00A1DF"/>
              <w:right w:val="single" w:sz="8" w:color="auto"/>
            </w:tcBorders>
          </w:tcPr>
          <w:p>
            <w:pPr>
              <w:spacing w:after="0"/>
              <w:rPr>
                <w:sz w:val="22"/>
                <w:szCs w:val="22"/>
                <w:color w:val="auto"/>
              </w:rPr>
            </w:pPr>
          </w:p>
        </w:tc>
        <w:tc>
          <w:tcPr>
            <w:tcW w:w="3040" w:type="dxa"/>
            <w:vAlign w:val="bottom"/>
            <w:tcBorders>
              <w:right w:val="single" w:sz="8" w:color="auto"/>
            </w:tcBorders>
            <w:gridSpan w:val="6"/>
          </w:tcPr>
          <w:p>
            <w:pPr>
              <w:jc w:val="center"/>
              <w:ind w:right="2"/>
              <w:spacing w:after="0"/>
              <w:rPr>
                <w:sz w:val="20"/>
                <w:szCs w:val="20"/>
                <w:color w:val="auto"/>
              </w:rPr>
            </w:pPr>
            <w:r>
              <w:rPr>
                <w:rFonts w:ascii="Arial" w:cs="Arial" w:eastAsia="Arial" w:hAnsi="Arial"/>
                <w:sz w:val="20"/>
                <w:szCs w:val="20"/>
                <w:b w:val="1"/>
                <w:bCs w:val="1"/>
                <w:color w:val="auto"/>
                <w:w w:val="97"/>
              </w:rPr>
              <w:t>Year’s Proxy Statement</w:t>
            </w:r>
          </w:p>
        </w:tc>
        <w:tc>
          <w:tcPr>
            <w:tcW w:w="1660" w:type="dxa"/>
            <w:vAlign w:val="bottom"/>
            <w:gridSpan w:val="4"/>
          </w:tcPr>
          <w:p>
            <w:pPr>
              <w:ind w:left="120"/>
              <w:spacing w:after="0"/>
              <w:rPr>
                <w:sz w:val="20"/>
                <w:szCs w:val="20"/>
                <w:color w:val="auto"/>
              </w:rPr>
            </w:pPr>
            <w:r>
              <w:rPr>
                <w:rFonts w:ascii="Arial" w:cs="Arial" w:eastAsia="Arial" w:hAnsi="Arial"/>
                <w:sz w:val="20"/>
                <w:szCs w:val="20"/>
                <w:b w:val="1"/>
                <w:bCs w:val="1"/>
                <w:color w:val="auto"/>
              </w:rPr>
              <w:t>(Proxy Access)</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2260" w:type="dxa"/>
            <w:vAlign w:val="bottom"/>
            <w:gridSpan w:val="4"/>
          </w:tcPr>
          <w:p>
            <w:pPr>
              <w:ind w:left="120"/>
              <w:spacing w:after="0"/>
              <w:rPr>
                <w:sz w:val="20"/>
                <w:szCs w:val="20"/>
                <w:color w:val="auto"/>
              </w:rPr>
            </w:pPr>
            <w:r>
              <w:rPr>
                <w:rFonts w:ascii="Arial" w:cs="Arial" w:eastAsia="Arial" w:hAnsi="Arial"/>
                <w:sz w:val="20"/>
                <w:szCs w:val="20"/>
                <w:b w:val="1"/>
                <w:bCs w:val="1"/>
                <w:color w:val="auto"/>
                <w:w w:val="98"/>
              </w:rPr>
              <w:t>Year’s Annual Meeting</w:t>
            </w:r>
          </w:p>
        </w:tc>
        <w:tc>
          <w:tcPr>
            <w:tcW w:w="360" w:type="dxa"/>
            <w:vAlign w:val="bottom"/>
            <w:tcBorders>
              <w:right w:val="single" w:sz="8" w:color="00A1DF"/>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380" w:type="dxa"/>
            <w:vAlign w:val="bottom"/>
            <w:tcBorders>
              <w:left w:val="single" w:sz="8" w:color="00A1DF"/>
              <w:bottom w:val="single" w:sz="8" w:color="00A1DF"/>
              <w:right w:val="single" w:sz="8" w:color="auto"/>
            </w:tcBorders>
          </w:tcPr>
          <w:p>
            <w:pPr>
              <w:spacing w:after="0"/>
              <w:rPr>
                <w:sz w:val="5"/>
                <w:szCs w:val="5"/>
                <w:color w:val="auto"/>
              </w:rPr>
            </w:pPr>
          </w:p>
        </w:tc>
        <w:tc>
          <w:tcPr>
            <w:tcW w:w="3040" w:type="dxa"/>
            <w:vAlign w:val="bottom"/>
            <w:tcBorders>
              <w:bottom w:val="single" w:sz="8" w:color="00A1DF"/>
              <w:right w:val="single" w:sz="8" w:color="auto"/>
            </w:tcBorders>
            <w:gridSpan w:val="6"/>
          </w:tcPr>
          <w:p>
            <w:pPr>
              <w:spacing w:after="0"/>
              <w:rPr>
                <w:sz w:val="5"/>
                <w:szCs w:val="5"/>
                <w:color w:val="auto"/>
              </w:rPr>
            </w:pPr>
          </w:p>
        </w:tc>
        <w:tc>
          <w:tcPr>
            <w:tcW w:w="700" w:type="dxa"/>
            <w:vAlign w:val="bottom"/>
            <w:tcBorders>
              <w:bottom w:val="single" w:sz="8" w:color="00A1DF"/>
            </w:tcBorders>
          </w:tcPr>
          <w:p>
            <w:pPr>
              <w:spacing w:after="0"/>
              <w:rPr>
                <w:sz w:val="5"/>
                <w:szCs w:val="5"/>
                <w:color w:val="auto"/>
              </w:rPr>
            </w:pPr>
          </w:p>
        </w:tc>
        <w:tc>
          <w:tcPr>
            <w:tcW w:w="740" w:type="dxa"/>
            <w:vAlign w:val="bottom"/>
            <w:tcBorders>
              <w:bottom w:val="single" w:sz="8" w:color="00A1DF"/>
            </w:tcBorders>
            <w:gridSpan w:val="2"/>
          </w:tcPr>
          <w:p>
            <w:pPr>
              <w:spacing w:after="0"/>
              <w:rPr>
                <w:sz w:val="5"/>
                <w:szCs w:val="5"/>
                <w:color w:val="auto"/>
              </w:rPr>
            </w:pPr>
          </w:p>
        </w:tc>
        <w:tc>
          <w:tcPr>
            <w:tcW w:w="220" w:type="dxa"/>
            <w:vAlign w:val="bottom"/>
            <w:tcBorders>
              <w:bottom w:val="single" w:sz="8" w:color="00A1DF"/>
            </w:tcBorders>
          </w:tcPr>
          <w:p>
            <w:pPr>
              <w:spacing w:after="0"/>
              <w:rPr>
                <w:sz w:val="5"/>
                <w:szCs w:val="5"/>
                <w:color w:val="auto"/>
              </w:rPr>
            </w:pPr>
          </w:p>
        </w:tc>
        <w:tc>
          <w:tcPr>
            <w:tcW w:w="700" w:type="dxa"/>
            <w:vAlign w:val="bottom"/>
            <w:tcBorders>
              <w:bottom w:val="single" w:sz="8" w:color="00A1DF"/>
            </w:tcBorders>
            <w:gridSpan w:val="2"/>
          </w:tcPr>
          <w:p>
            <w:pPr>
              <w:spacing w:after="0"/>
              <w:rPr>
                <w:sz w:val="5"/>
                <w:szCs w:val="5"/>
                <w:color w:val="auto"/>
              </w:rPr>
            </w:pPr>
          </w:p>
        </w:tc>
        <w:tc>
          <w:tcPr>
            <w:tcW w:w="540" w:type="dxa"/>
            <w:vAlign w:val="bottom"/>
            <w:tcBorders>
              <w:bottom w:val="single" w:sz="8" w:color="00A1DF"/>
              <w:right w:val="single" w:sz="8" w:color="auto"/>
            </w:tcBorders>
          </w:tcPr>
          <w:p>
            <w:pPr>
              <w:spacing w:after="0"/>
              <w:rPr>
                <w:sz w:val="5"/>
                <w:szCs w:val="5"/>
                <w:color w:val="auto"/>
              </w:rPr>
            </w:pPr>
          </w:p>
        </w:tc>
        <w:tc>
          <w:tcPr>
            <w:tcW w:w="2620" w:type="dxa"/>
            <w:vAlign w:val="bottom"/>
            <w:tcBorders>
              <w:bottom w:val="single" w:sz="8" w:color="00A1DF"/>
              <w:right w:val="single" w:sz="8" w:color="00A1DF"/>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380" w:type="dxa"/>
            <w:vAlign w:val="bottom"/>
            <w:tcBorders>
              <w:left w:val="single" w:sz="8" w:color="00A1DF"/>
              <w:right w:val="single" w:sz="8" w:color="auto"/>
            </w:tcBorders>
          </w:tcPr>
          <w:p>
            <w:pPr>
              <w:ind w:left="240"/>
              <w:spacing w:after="0" w:line="204" w:lineRule="exact"/>
              <w:rPr>
                <w:sz w:val="20"/>
                <w:szCs w:val="20"/>
                <w:color w:val="auto"/>
              </w:rPr>
            </w:pPr>
            <w:r>
              <w:rPr>
                <w:rFonts w:ascii="Arial" w:cs="Arial" w:eastAsia="Arial" w:hAnsi="Arial"/>
                <w:sz w:val="20"/>
                <w:szCs w:val="20"/>
                <w:b w:val="1"/>
                <w:bCs w:val="1"/>
                <w:color w:val="00A1DF"/>
              </w:rPr>
              <w:t>Rules/Provisions</w:t>
            </w:r>
          </w:p>
        </w:tc>
        <w:tc>
          <w:tcPr>
            <w:tcW w:w="3040" w:type="dxa"/>
            <w:vAlign w:val="bottom"/>
            <w:tcBorders>
              <w:right w:val="single" w:sz="8" w:color="auto"/>
            </w:tcBorders>
            <w:gridSpan w:val="6"/>
          </w:tcPr>
          <w:p>
            <w:pPr>
              <w:ind w:left="120"/>
              <w:spacing w:after="0" w:line="204" w:lineRule="exact"/>
              <w:rPr>
                <w:sz w:val="20"/>
                <w:szCs w:val="20"/>
                <w:color w:val="auto"/>
              </w:rPr>
            </w:pPr>
            <w:r>
              <w:rPr>
                <w:rFonts w:ascii="Arial" w:cs="Arial" w:eastAsia="Arial" w:hAnsi="Arial"/>
                <w:sz w:val="20"/>
                <w:szCs w:val="20"/>
                <w:color w:val="auto"/>
              </w:rPr>
              <w:t>SEC  rules  and  our  Bylaws</w:t>
            </w:r>
          </w:p>
        </w:tc>
        <w:tc>
          <w:tcPr>
            <w:tcW w:w="700" w:type="dxa"/>
            <w:vAlign w:val="bottom"/>
          </w:tcPr>
          <w:p>
            <w:pPr>
              <w:ind w:left="120"/>
              <w:spacing w:after="0" w:line="204" w:lineRule="exact"/>
              <w:rPr>
                <w:sz w:val="20"/>
                <w:szCs w:val="20"/>
                <w:color w:val="auto"/>
              </w:rPr>
            </w:pPr>
            <w:r>
              <w:rPr>
                <w:rFonts w:ascii="Arial" w:cs="Arial" w:eastAsia="Arial" w:hAnsi="Arial"/>
                <w:sz w:val="20"/>
                <w:szCs w:val="20"/>
                <w:color w:val="auto"/>
              </w:rPr>
              <w:t>Our</w:t>
            </w:r>
          </w:p>
        </w:tc>
        <w:tc>
          <w:tcPr>
            <w:tcW w:w="74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Bylaws</w:t>
            </w:r>
          </w:p>
        </w:tc>
        <w:tc>
          <w:tcPr>
            <w:tcW w:w="220" w:type="dxa"/>
            <w:vAlign w:val="bottom"/>
          </w:tcPr>
          <w:p>
            <w:pPr>
              <w:spacing w:after="0"/>
              <w:rPr>
                <w:sz w:val="17"/>
                <w:szCs w:val="17"/>
                <w:color w:val="auto"/>
              </w:rPr>
            </w:pPr>
          </w:p>
        </w:tc>
        <w:tc>
          <w:tcPr>
            <w:tcW w:w="700" w:type="dxa"/>
            <w:vAlign w:val="bottom"/>
            <w:gridSpan w:val="2"/>
          </w:tcPr>
          <w:p>
            <w:pPr>
              <w:ind w:left="60"/>
              <w:spacing w:after="0" w:line="204" w:lineRule="exact"/>
              <w:rPr>
                <w:sz w:val="20"/>
                <w:szCs w:val="20"/>
                <w:color w:val="auto"/>
              </w:rPr>
            </w:pPr>
            <w:r>
              <w:rPr>
                <w:rFonts w:ascii="Arial" w:cs="Arial" w:eastAsia="Arial" w:hAnsi="Arial"/>
                <w:sz w:val="20"/>
                <w:szCs w:val="20"/>
                <w:color w:val="auto"/>
              </w:rPr>
              <w:t>permit</w:t>
            </w:r>
          </w:p>
        </w:tc>
        <w:tc>
          <w:tcPr>
            <w:tcW w:w="540" w:type="dxa"/>
            <w:vAlign w:val="bottom"/>
            <w:tcBorders>
              <w:right w:val="single" w:sz="8" w:color="auto"/>
            </w:tcBorders>
          </w:tcPr>
          <w:p>
            <w:pPr>
              <w:jc w:val="right"/>
              <w:ind w:right="102"/>
              <w:spacing w:after="0" w:line="204" w:lineRule="exact"/>
              <w:rPr>
                <w:sz w:val="20"/>
                <w:szCs w:val="20"/>
                <w:color w:val="auto"/>
              </w:rPr>
            </w:pPr>
            <w:r>
              <w:rPr>
                <w:rFonts w:ascii="Arial" w:cs="Arial" w:eastAsia="Arial" w:hAnsi="Arial"/>
                <w:sz w:val="20"/>
                <w:szCs w:val="20"/>
                <w:color w:val="auto"/>
              </w:rPr>
              <w:t>a</w:t>
            </w:r>
          </w:p>
        </w:tc>
        <w:tc>
          <w:tcPr>
            <w:tcW w:w="2620" w:type="dxa"/>
            <w:vAlign w:val="bottom"/>
            <w:tcBorders>
              <w:right w:val="single" w:sz="8" w:color="00A1DF"/>
            </w:tcBorders>
            <w:gridSpan w:val="5"/>
          </w:tcPr>
          <w:p>
            <w:pPr>
              <w:ind w:left="120"/>
              <w:spacing w:after="0" w:line="204" w:lineRule="exact"/>
              <w:rPr>
                <w:sz w:val="20"/>
                <w:szCs w:val="20"/>
                <w:color w:val="auto"/>
              </w:rPr>
            </w:pPr>
            <w:r>
              <w:rPr>
                <w:rFonts w:ascii="Arial" w:cs="Arial" w:eastAsia="Arial" w:hAnsi="Arial"/>
                <w:sz w:val="20"/>
                <w:szCs w:val="20"/>
                <w:color w:val="auto"/>
                <w:w w:val="99"/>
              </w:rPr>
              <w:t>Our Bylaws require that any</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3040" w:type="dxa"/>
            <w:vAlign w:val="bottom"/>
            <w:tcBorders>
              <w:right w:val="single" w:sz="8" w:color="auto"/>
            </w:tcBorders>
            <w:gridSpan w:val="6"/>
          </w:tcPr>
          <w:p>
            <w:pPr>
              <w:ind w:left="120"/>
              <w:spacing w:after="0" w:line="214" w:lineRule="exact"/>
              <w:rPr>
                <w:sz w:val="20"/>
                <w:szCs w:val="20"/>
                <w:color w:val="auto"/>
              </w:rPr>
            </w:pPr>
            <w:r>
              <w:rPr>
                <w:rFonts w:ascii="Arial" w:cs="Arial" w:eastAsia="Arial" w:hAnsi="Arial"/>
                <w:sz w:val="20"/>
                <w:szCs w:val="20"/>
                <w:color w:val="auto"/>
              </w:rPr>
              <w:t>permit shareholders to submit</w:t>
            </w: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w w:val="96"/>
              </w:rPr>
              <w:t>shareholder</w:t>
            </w:r>
          </w:p>
        </w:tc>
        <w:tc>
          <w:tcPr>
            <w:tcW w:w="500" w:type="dxa"/>
            <w:vAlign w:val="bottom"/>
            <w:gridSpan w:val="2"/>
          </w:tcPr>
          <w:p>
            <w:pPr>
              <w:jc w:val="right"/>
              <w:ind w:right="2"/>
              <w:spacing w:after="0" w:line="214" w:lineRule="exact"/>
              <w:rPr>
                <w:sz w:val="20"/>
                <w:szCs w:val="20"/>
                <w:color w:val="auto"/>
              </w:rPr>
            </w:pPr>
            <w:r>
              <w:rPr>
                <w:rFonts w:ascii="Arial" w:cs="Arial" w:eastAsia="Arial" w:hAnsi="Arial"/>
                <w:sz w:val="20"/>
                <w:szCs w:val="20"/>
                <w:color w:val="auto"/>
              </w:rPr>
              <w:t>or</w:t>
            </w:r>
          </w:p>
        </w:tc>
        <w:tc>
          <w:tcPr>
            <w:tcW w:w="700" w:type="dxa"/>
            <w:vAlign w:val="bottom"/>
            <w:gridSpan w:val="2"/>
          </w:tcPr>
          <w:p>
            <w:pPr>
              <w:ind w:left="140"/>
              <w:spacing w:after="0" w:line="214" w:lineRule="exact"/>
              <w:rPr>
                <w:sz w:val="20"/>
                <w:szCs w:val="20"/>
                <w:color w:val="auto"/>
              </w:rPr>
            </w:pPr>
            <w:r>
              <w:rPr>
                <w:rFonts w:ascii="Arial" w:cs="Arial" w:eastAsia="Arial" w:hAnsi="Arial"/>
                <w:sz w:val="20"/>
                <w:szCs w:val="20"/>
                <w:color w:val="auto"/>
              </w:rPr>
              <w:t>group</w:t>
            </w:r>
          </w:p>
        </w:tc>
        <w:tc>
          <w:tcPr>
            <w:tcW w:w="54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of</w:t>
            </w:r>
          </w:p>
        </w:tc>
        <w:tc>
          <w:tcPr>
            <w:tcW w:w="134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shareholder</w:t>
            </w:r>
          </w:p>
        </w:tc>
        <w:tc>
          <w:tcPr>
            <w:tcW w:w="1280" w:type="dxa"/>
            <w:vAlign w:val="bottom"/>
            <w:tcBorders>
              <w:right w:val="single" w:sz="8" w:color="00A1DF"/>
            </w:tcBorders>
            <w:gridSpan w:val="3"/>
          </w:tcPr>
          <w:p>
            <w:pPr>
              <w:jc w:val="right"/>
              <w:spacing w:after="0" w:line="214" w:lineRule="exact"/>
              <w:rPr>
                <w:sz w:val="20"/>
                <w:szCs w:val="20"/>
                <w:color w:val="auto"/>
              </w:rPr>
            </w:pPr>
            <w:r>
              <w:rPr>
                <w:rFonts w:ascii="Arial" w:cs="Arial" w:eastAsia="Arial" w:hAnsi="Arial"/>
                <w:sz w:val="20"/>
                <w:szCs w:val="20"/>
                <w:color w:val="auto"/>
              </w:rPr>
              <w:t>proposal,</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3040" w:type="dxa"/>
            <w:vAlign w:val="bottom"/>
            <w:tcBorders>
              <w:right w:val="single" w:sz="8" w:color="auto"/>
            </w:tcBorders>
            <w:gridSpan w:val="6"/>
          </w:tcPr>
          <w:p>
            <w:pPr>
              <w:ind w:left="120"/>
              <w:spacing w:after="0" w:line="214" w:lineRule="exact"/>
              <w:rPr>
                <w:sz w:val="20"/>
                <w:szCs w:val="20"/>
                <w:color w:val="auto"/>
              </w:rPr>
            </w:pPr>
            <w:r>
              <w:rPr>
                <w:rFonts w:ascii="Arial" w:cs="Arial" w:eastAsia="Arial" w:hAnsi="Arial"/>
                <w:sz w:val="20"/>
                <w:szCs w:val="20"/>
                <w:color w:val="auto"/>
              </w:rPr>
              <w:t>proposals for inclusion in our</w:t>
            </w: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shareholders (up to 20) who</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rPr>
              <w:t>including</w:t>
            </w:r>
          </w:p>
        </w:tc>
        <w:tc>
          <w:tcPr>
            <w:tcW w:w="340" w:type="dxa"/>
            <w:vAlign w:val="bottom"/>
          </w:tcPr>
          <w:p>
            <w:pPr>
              <w:spacing w:after="0"/>
              <w:rPr>
                <w:sz w:val="18"/>
                <w:szCs w:val="18"/>
                <w:color w:val="auto"/>
              </w:rPr>
            </w:pPr>
          </w:p>
        </w:tc>
        <w:tc>
          <w:tcPr>
            <w:tcW w:w="560" w:type="dxa"/>
            <w:vAlign w:val="bottom"/>
          </w:tcPr>
          <w:p>
            <w:pPr>
              <w:spacing w:after="0" w:line="214" w:lineRule="exact"/>
              <w:rPr>
                <w:sz w:val="20"/>
                <w:szCs w:val="20"/>
                <w:color w:val="auto"/>
              </w:rPr>
            </w:pPr>
            <w:r>
              <w:rPr>
                <w:rFonts w:ascii="Arial" w:cs="Arial" w:eastAsia="Arial" w:hAnsi="Arial"/>
                <w:sz w:val="20"/>
                <w:szCs w:val="20"/>
                <w:color w:val="auto"/>
              </w:rPr>
              <w:t>a</w:t>
            </w:r>
          </w:p>
        </w:tc>
        <w:tc>
          <w:tcPr>
            <w:tcW w:w="720" w:type="dxa"/>
            <w:vAlign w:val="bottom"/>
            <w:tcBorders>
              <w:right w:val="single" w:sz="8" w:color="00A1DF"/>
            </w:tcBorders>
            <w:gridSpan w:val="2"/>
          </w:tcPr>
          <w:p>
            <w:pPr>
              <w:jc w:val="right"/>
              <w:spacing w:after="0" w:line="214" w:lineRule="exact"/>
              <w:rPr>
                <w:sz w:val="20"/>
                <w:szCs w:val="20"/>
                <w:color w:val="auto"/>
              </w:rPr>
            </w:pPr>
            <w:r>
              <w:rPr>
                <w:rFonts w:ascii="Arial" w:cs="Arial" w:eastAsia="Arial" w:hAnsi="Arial"/>
                <w:sz w:val="20"/>
                <w:szCs w:val="20"/>
                <w:color w:val="auto"/>
                <w:w w:val="95"/>
              </w:rPr>
              <w:t>director</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ind w:left="120"/>
              <w:spacing w:after="0" w:line="214" w:lineRule="exact"/>
              <w:rPr>
                <w:sz w:val="20"/>
                <w:szCs w:val="20"/>
                <w:color w:val="auto"/>
              </w:rPr>
            </w:pPr>
            <w:r>
              <w:rPr>
                <w:rFonts w:ascii="Arial" w:cs="Arial" w:eastAsia="Arial" w:hAnsi="Arial"/>
                <w:sz w:val="20"/>
                <w:szCs w:val="20"/>
                <w:color w:val="auto"/>
              </w:rPr>
              <w:t>Proxy</w:t>
            </w:r>
          </w:p>
        </w:tc>
        <w:tc>
          <w:tcPr>
            <w:tcW w:w="1220" w:type="dxa"/>
            <w:vAlign w:val="bottom"/>
            <w:gridSpan w:val="3"/>
          </w:tcPr>
          <w:p>
            <w:pPr>
              <w:ind w:left="120"/>
              <w:spacing w:after="0" w:line="214" w:lineRule="exact"/>
              <w:rPr>
                <w:sz w:val="20"/>
                <w:szCs w:val="20"/>
                <w:color w:val="auto"/>
              </w:rPr>
            </w:pPr>
            <w:r>
              <w:rPr>
                <w:rFonts w:ascii="Arial" w:cs="Arial" w:eastAsia="Arial" w:hAnsi="Arial"/>
                <w:sz w:val="20"/>
                <w:szCs w:val="20"/>
                <w:color w:val="auto"/>
              </w:rPr>
              <w:t>Statement</w:t>
            </w:r>
          </w:p>
        </w:tc>
        <w:tc>
          <w:tcPr>
            <w:tcW w:w="220" w:type="dxa"/>
            <w:vAlign w:val="bottom"/>
          </w:tcPr>
          <w:p>
            <w:pPr>
              <w:ind w:left="100"/>
              <w:spacing w:after="0" w:line="214" w:lineRule="exact"/>
              <w:rPr>
                <w:sz w:val="20"/>
                <w:szCs w:val="20"/>
                <w:color w:val="auto"/>
              </w:rPr>
            </w:pPr>
            <w:r>
              <w:rPr>
                <w:rFonts w:ascii="Arial" w:cs="Arial" w:eastAsia="Arial" w:hAnsi="Arial"/>
                <w:sz w:val="20"/>
                <w:szCs w:val="20"/>
                <w:color w:val="auto"/>
                <w:w w:val="99"/>
              </w:rPr>
              <w:t>if</w:t>
            </w:r>
          </w:p>
        </w:tc>
        <w:tc>
          <w:tcPr>
            <w:tcW w:w="78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the</w:t>
            </w:r>
          </w:p>
        </w:tc>
        <w:tc>
          <w:tcPr>
            <w:tcW w:w="700" w:type="dxa"/>
            <w:vAlign w:val="bottom"/>
          </w:tcPr>
          <w:p>
            <w:pPr>
              <w:ind w:left="120"/>
              <w:spacing w:after="0" w:line="214" w:lineRule="exact"/>
              <w:rPr>
                <w:sz w:val="20"/>
                <w:szCs w:val="20"/>
                <w:color w:val="auto"/>
              </w:rPr>
            </w:pPr>
            <w:r>
              <w:rPr>
                <w:rFonts w:ascii="Arial" w:cs="Arial" w:eastAsia="Arial" w:hAnsi="Arial"/>
                <w:sz w:val="20"/>
                <w:szCs w:val="20"/>
                <w:color w:val="auto"/>
              </w:rPr>
              <w:t>have</w:t>
            </w:r>
          </w:p>
        </w:tc>
        <w:tc>
          <w:tcPr>
            <w:tcW w:w="740" w:type="dxa"/>
            <w:vAlign w:val="bottom"/>
            <w:gridSpan w:val="2"/>
          </w:tcPr>
          <w:p>
            <w:pPr>
              <w:jc w:val="right"/>
              <w:ind w:right="22"/>
              <w:spacing w:after="0" w:line="214" w:lineRule="exact"/>
              <w:rPr>
                <w:sz w:val="20"/>
                <w:szCs w:val="20"/>
                <w:color w:val="auto"/>
              </w:rPr>
            </w:pPr>
            <w:r>
              <w:rPr>
                <w:rFonts w:ascii="Arial" w:cs="Arial" w:eastAsia="Arial" w:hAnsi="Arial"/>
                <w:sz w:val="20"/>
                <w:szCs w:val="20"/>
                <w:color w:val="auto"/>
              </w:rPr>
              <w:t>owned</w:t>
            </w:r>
          </w:p>
        </w:tc>
        <w:tc>
          <w:tcPr>
            <w:tcW w:w="220" w:type="dxa"/>
            <w:vAlign w:val="bottom"/>
          </w:tcPr>
          <w:p>
            <w:pPr>
              <w:jc w:val="right"/>
              <w:spacing w:after="0" w:line="214" w:lineRule="exact"/>
              <w:rPr>
                <w:sz w:val="20"/>
                <w:szCs w:val="20"/>
                <w:color w:val="auto"/>
              </w:rPr>
            </w:pPr>
            <w:r>
              <w:rPr>
                <w:rFonts w:ascii="Arial" w:cs="Arial" w:eastAsia="Arial" w:hAnsi="Arial"/>
                <w:sz w:val="20"/>
                <w:szCs w:val="20"/>
                <w:color w:val="auto"/>
              </w:rPr>
              <w:t>a</w:t>
            </w:r>
          </w:p>
        </w:tc>
        <w:tc>
          <w:tcPr>
            <w:tcW w:w="1240" w:type="dxa"/>
            <w:vAlign w:val="bottom"/>
            <w:tcBorders>
              <w:right w:val="single" w:sz="8" w:color="auto"/>
            </w:tcBorders>
            <w:gridSpan w:val="3"/>
          </w:tcPr>
          <w:p>
            <w:pPr>
              <w:jc w:val="right"/>
              <w:ind w:right="102"/>
              <w:spacing w:after="0" w:line="214" w:lineRule="exact"/>
              <w:rPr>
                <w:sz w:val="20"/>
                <w:szCs w:val="20"/>
                <w:color w:val="auto"/>
              </w:rPr>
            </w:pPr>
            <w:r>
              <w:rPr>
                <w:rFonts w:ascii="Arial" w:cs="Arial" w:eastAsia="Arial" w:hAnsi="Arial"/>
                <w:sz w:val="20"/>
                <w:szCs w:val="20"/>
                <w:color w:val="auto"/>
              </w:rPr>
              <w:t>significant</w:t>
            </w:r>
          </w:p>
        </w:tc>
        <w:tc>
          <w:tcPr>
            <w:tcW w:w="134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nomination,</w:t>
            </w:r>
          </w:p>
        </w:tc>
        <w:tc>
          <w:tcPr>
            <w:tcW w:w="560" w:type="dxa"/>
            <w:vAlign w:val="bottom"/>
          </w:tcPr>
          <w:p>
            <w:pPr>
              <w:ind w:left="20"/>
              <w:spacing w:after="0" w:line="214" w:lineRule="exact"/>
              <w:rPr>
                <w:sz w:val="20"/>
                <w:szCs w:val="20"/>
                <w:color w:val="auto"/>
              </w:rPr>
            </w:pPr>
            <w:r>
              <w:rPr>
                <w:rFonts w:ascii="Arial" w:cs="Arial" w:eastAsia="Arial" w:hAnsi="Arial"/>
                <w:sz w:val="20"/>
                <w:szCs w:val="20"/>
                <w:color w:val="auto"/>
              </w:rPr>
              <w:t>that</w:t>
            </w:r>
          </w:p>
        </w:tc>
        <w:tc>
          <w:tcPr>
            <w:tcW w:w="360" w:type="dxa"/>
            <w:vAlign w:val="bottom"/>
          </w:tcPr>
          <w:p>
            <w:pPr>
              <w:ind w:left="20"/>
              <w:spacing w:after="0" w:line="214" w:lineRule="exact"/>
              <w:rPr>
                <w:sz w:val="20"/>
                <w:szCs w:val="20"/>
                <w:color w:val="auto"/>
              </w:rPr>
            </w:pPr>
            <w:r>
              <w:rPr>
                <w:rFonts w:ascii="Arial" w:cs="Arial" w:eastAsia="Arial" w:hAnsi="Arial"/>
                <w:sz w:val="20"/>
                <w:szCs w:val="20"/>
                <w:color w:val="auto"/>
              </w:rPr>
              <w:t>is</w:t>
            </w:r>
          </w:p>
        </w:tc>
        <w:tc>
          <w:tcPr>
            <w:tcW w:w="360" w:type="dxa"/>
            <w:vAlign w:val="bottom"/>
            <w:tcBorders>
              <w:right w:val="single" w:sz="8" w:color="00A1DF"/>
            </w:tcBorders>
          </w:tcPr>
          <w:p>
            <w:pPr>
              <w:jc w:val="right"/>
              <w:spacing w:after="0" w:line="214" w:lineRule="exact"/>
              <w:rPr>
                <w:sz w:val="20"/>
                <w:szCs w:val="20"/>
                <w:color w:val="auto"/>
              </w:rPr>
            </w:pPr>
            <w:r>
              <w:rPr>
                <w:rFonts w:ascii="Arial" w:cs="Arial" w:eastAsia="Arial" w:hAnsi="Arial"/>
                <w:sz w:val="20"/>
                <w:szCs w:val="20"/>
                <w:color w:val="auto"/>
              </w:rPr>
              <w:t>not</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12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shareholder</w:t>
            </w:r>
          </w:p>
        </w:tc>
        <w:tc>
          <w:tcPr>
            <w:tcW w:w="380" w:type="dxa"/>
            <w:vAlign w:val="bottom"/>
          </w:tcPr>
          <w:p>
            <w:pPr>
              <w:spacing w:after="0" w:line="214" w:lineRule="exact"/>
              <w:rPr>
                <w:sz w:val="20"/>
                <w:szCs w:val="20"/>
                <w:color w:val="auto"/>
              </w:rPr>
            </w:pPr>
            <w:r>
              <w:rPr>
                <w:rFonts w:ascii="Arial" w:cs="Arial" w:eastAsia="Arial" w:hAnsi="Arial"/>
                <w:sz w:val="20"/>
                <w:szCs w:val="20"/>
                <w:color w:val="auto"/>
              </w:rPr>
              <w:t>and</w:t>
            </w:r>
          </w:p>
        </w:tc>
        <w:tc>
          <w:tcPr>
            <w:tcW w:w="400" w:type="dxa"/>
            <w:vAlign w:val="bottom"/>
          </w:tcPr>
          <w:p>
            <w:pPr>
              <w:ind w:left="60"/>
              <w:spacing w:after="0" w:line="214" w:lineRule="exact"/>
              <w:rPr>
                <w:sz w:val="20"/>
                <w:szCs w:val="20"/>
                <w:color w:val="auto"/>
              </w:rPr>
            </w:pPr>
            <w:r>
              <w:rPr>
                <w:rFonts w:ascii="Arial" w:cs="Arial" w:eastAsia="Arial" w:hAnsi="Arial"/>
                <w:sz w:val="20"/>
                <w:szCs w:val="20"/>
                <w:color w:val="auto"/>
              </w:rPr>
              <w:t>the</w:t>
            </w:r>
          </w:p>
        </w:tc>
        <w:tc>
          <w:tcPr>
            <w:tcW w:w="1000" w:type="dxa"/>
            <w:vAlign w:val="bottom"/>
            <w:tcBorders>
              <w:right w:val="single" w:sz="8" w:color="auto"/>
            </w:tcBorders>
            <w:gridSpan w:val="2"/>
          </w:tcPr>
          <w:p>
            <w:pPr>
              <w:jc w:val="right"/>
              <w:ind w:right="102"/>
              <w:spacing w:after="0" w:line="214" w:lineRule="exact"/>
              <w:rPr>
                <w:sz w:val="20"/>
                <w:szCs w:val="20"/>
                <w:color w:val="auto"/>
              </w:rPr>
            </w:pPr>
            <w:r>
              <w:rPr>
                <w:rFonts w:ascii="Arial" w:cs="Arial" w:eastAsia="Arial" w:hAnsi="Arial"/>
                <w:sz w:val="20"/>
                <w:szCs w:val="20"/>
                <w:color w:val="auto"/>
              </w:rPr>
              <w:t>proposal</w:t>
            </w: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amount of common stock (at</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w w:val="99"/>
              </w:rPr>
              <w:t>submitted</w:t>
            </w:r>
          </w:p>
        </w:tc>
        <w:tc>
          <w:tcPr>
            <w:tcW w:w="340" w:type="dxa"/>
            <w:vAlign w:val="bottom"/>
          </w:tcPr>
          <w:p>
            <w:pPr>
              <w:ind w:left="120"/>
              <w:spacing w:after="0" w:line="214" w:lineRule="exact"/>
              <w:rPr>
                <w:sz w:val="20"/>
                <w:szCs w:val="20"/>
                <w:color w:val="auto"/>
              </w:rPr>
            </w:pPr>
            <w:r>
              <w:rPr>
                <w:rFonts w:ascii="Arial" w:cs="Arial" w:eastAsia="Arial" w:hAnsi="Arial"/>
                <w:sz w:val="20"/>
                <w:szCs w:val="20"/>
                <w:color w:val="auto"/>
                <w:w w:val="85"/>
              </w:rPr>
              <w:t>for</w:t>
            </w:r>
          </w:p>
        </w:tc>
        <w:tc>
          <w:tcPr>
            <w:tcW w:w="920" w:type="dxa"/>
            <w:vAlign w:val="bottom"/>
            <w:gridSpan w:val="2"/>
          </w:tcPr>
          <w:p>
            <w:pPr>
              <w:ind w:left="160"/>
              <w:spacing w:after="0" w:line="214" w:lineRule="exact"/>
              <w:rPr>
                <w:sz w:val="20"/>
                <w:szCs w:val="20"/>
                <w:color w:val="auto"/>
              </w:rPr>
            </w:pPr>
            <w:r>
              <w:rPr>
                <w:rFonts w:ascii="Arial" w:cs="Arial" w:eastAsia="Arial" w:hAnsi="Arial"/>
                <w:sz w:val="20"/>
                <w:szCs w:val="20"/>
                <w:color w:val="auto"/>
                <w:w w:val="95"/>
              </w:rPr>
              <w:t>inclusion</w:t>
            </w:r>
          </w:p>
        </w:tc>
        <w:tc>
          <w:tcPr>
            <w:tcW w:w="360" w:type="dxa"/>
            <w:vAlign w:val="bottom"/>
            <w:tcBorders>
              <w:right w:val="single" w:sz="8" w:color="00A1DF"/>
            </w:tcBorders>
          </w:tcPr>
          <w:p>
            <w:pPr>
              <w:jc w:val="right"/>
              <w:spacing w:after="0" w:line="214" w:lineRule="exact"/>
              <w:rPr>
                <w:sz w:val="20"/>
                <w:szCs w:val="20"/>
                <w:color w:val="auto"/>
              </w:rPr>
            </w:pPr>
            <w:r>
              <w:rPr>
                <w:rFonts w:ascii="Arial" w:cs="Arial" w:eastAsia="Arial" w:hAnsi="Arial"/>
                <w:sz w:val="20"/>
                <w:szCs w:val="20"/>
                <w:color w:val="auto"/>
              </w:rPr>
              <w:t>in</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ind w:left="120"/>
              <w:spacing w:after="0" w:line="214" w:lineRule="exact"/>
              <w:rPr>
                <w:sz w:val="20"/>
                <w:szCs w:val="20"/>
                <w:color w:val="auto"/>
              </w:rPr>
            </w:pPr>
            <w:r>
              <w:rPr>
                <w:rFonts w:ascii="Arial" w:cs="Arial" w:eastAsia="Arial" w:hAnsi="Arial"/>
                <w:sz w:val="20"/>
                <w:szCs w:val="20"/>
                <w:color w:val="auto"/>
              </w:rPr>
              <w:t>meet</w:t>
            </w:r>
          </w:p>
        </w:tc>
        <w:tc>
          <w:tcPr>
            <w:tcW w:w="440" w:type="dxa"/>
            <w:vAlign w:val="bottom"/>
          </w:tcPr>
          <w:p>
            <w:pPr>
              <w:ind w:left="160"/>
              <w:spacing w:after="0" w:line="214" w:lineRule="exact"/>
              <w:rPr>
                <w:sz w:val="20"/>
                <w:szCs w:val="20"/>
                <w:color w:val="auto"/>
              </w:rPr>
            </w:pPr>
            <w:r>
              <w:rPr>
                <w:rFonts w:ascii="Arial" w:cs="Arial" w:eastAsia="Arial" w:hAnsi="Arial"/>
                <w:sz w:val="20"/>
                <w:szCs w:val="20"/>
                <w:color w:val="auto"/>
                <w:w w:val="93"/>
              </w:rPr>
              <w:t>the</w:t>
            </w:r>
          </w:p>
        </w:tc>
        <w:tc>
          <w:tcPr>
            <w:tcW w:w="380" w:type="dxa"/>
            <w:vAlign w:val="bottom"/>
          </w:tcPr>
          <w:p>
            <w:pPr>
              <w:spacing w:after="0"/>
              <w:rPr>
                <w:sz w:val="18"/>
                <w:szCs w:val="18"/>
                <w:color w:val="auto"/>
              </w:rPr>
            </w:pPr>
          </w:p>
        </w:tc>
        <w:tc>
          <w:tcPr>
            <w:tcW w:w="1400" w:type="dxa"/>
            <w:vAlign w:val="bottom"/>
            <w:tcBorders>
              <w:right w:val="single" w:sz="8" w:color="auto"/>
            </w:tcBorders>
            <w:gridSpan w:val="3"/>
          </w:tcPr>
          <w:p>
            <w:pPr>
              <w:jc w:val="right"/>
              <w:ind w:right="102"/>
              <w:spacing w:after="0" w:line="214" w:lineRule="exact"/>
              <w:rPr>
                <w:sz w:val="20"/>
                <w:szCs w:val="20"/>
                <w:color w:val="auto"/>
              </w:rPr>
            </w:pPr>
            <w:r>
              <w:rPr>
                <w:rFonts w:ascii="Arial" w:cs="Arial" w:eastAsia="Arial" w:hAnsi="Arial"/>
                <w:sz w:val="20"/>
                <w:szCs w:val="20"/>
                <w:color w:val="auto"/>
              </w:rPr>
              <w:t>requirements</w:t>
            </w: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least  3%)  for  a  significant</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rPr>
              <w:t>next</w:t>
            </w:r>
          </w:p>
        </w:tc>
        <w:tc>
          <w:tcPr>
            <w:tcW w:w="900" w:type="dxa"/>
            <w:vAlign w:val="bottom"/>
            <w:gridSpan w:val="2"/>
          </w:tcPr>
          <w:p>
            <w:pPr>
              <w:spacing w:after="0" w:line="214" w:lineRule="exact"/>
              <w:rPr>
                <w:sz w:val="20"/>
                <w:szCs w:val="20"/>
                <w:color w:val="auto"/>
              </w:rPr>
            </w:pPr>
            <w:r>
              <w:rPr>
                <w:rFonts w:ascii="Arial" w:cs="Arial" w:eastAsia="Arial" w:hAnsi="Arial"/>
                <w:sz w:val="20"/>
                <w:szCs w:val="20"/>
                <w:color w:val="auto"/>
              </w:rPr>
              <w:t>year’s</w:t>
            </w:r>
          </w:p>
        </w:tc>
        <w:tc>
          <w:tcPr>
            <w:tcW w:w="720" w:type="dxa"/>
            <w:vAlign w:val="bottom"/>
            <w:tcBorders>
              <w:right w:val="single" w:sz="8" w:color="00A1DF"/>
            </w:tcBorders>
            <w:gridSpan w:val="2"/>
          </w:tcPr>
          <w:p>
            <w:pPr>
              <w:jc w:val="right"/>
              <w:spacing w:after="0" w:line="214" w:lineRule="exact"/>
              <w:rPr>
                <w:sz w:val="20"/>
                <w:szCs w:val="20"/>
                <w:color w:val="auto"/>
              </w:rPr>
            </w:pPr>
            <w:r>
              <w:rPr>
                <w:rFonts w:ascii="Arial" w:cs="Arial" w:eastAsia="Arial" w:hAnsi="Arial"/>
                <w:sz w:val="20"/>
                <w:szCs w:val="20"/>
                <w:color w:val="auto"/>
              </w:rPr>
              <w:t>Proxy</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3040" w:type="dxa"/>
            <w:vAlign w:val="bottom"/>
            <w:tcBorders>
              <w:right w:val="single" w:sz="8" w:color="auto"/>
            </w:tcBorders>
            <w:gridSpan w:val="6"/>
          </w:tcPr>
          <w:p>
            <w:pPr>
              <w:ind w:left="120"/>
              <w:spacing w:after="0" w:line="214" w:lineRule="exact"/>
              <w:rPr>
                <w:sz w:val="20"/>
                <w:szCs w:val="20"/>
                <w:color w:val="auto"/>
              </w:rPr>
            </w:pPr>
            <w:r>
              <w:rPr>
                <w:rFonts w:ascii="Arial" w:cs="Arial" w:eastAsia="Arial" w:hAnsi="Arial"/>
                <w:sz w:val="20"/>
                <w:szCs w:val="20"/>
                <w:color w:val="auto"/>
              </w:rPr>
              <w:t>specified in SEC Rule 14a-8.</w:t>
            </w: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amount of time (at least three</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w w:val="94"/>
              </w:rPr>
              <w:t>Statement</w:t>
            </w:r>
          </w:p>
        </w:tc>
        <w:tc>
          <w:tcPr>
            <w:tcW w:w="900" w:type="dxa"/>
            <w:vAlign w:val="bottom"/>
            <w:gridSpan w:val="2"/>
          </w:tcPr>
          <w:p>
            <w:pPr>
              <w:ind w:left="260"/>
              <w:spacing w:after="0" w:line="214" w:lineRule="exact"/>
              <w:rPr>
                <w:sz w:val="20"/>
                <w:szCs w:val="20"/>
                <w:color w:val="auto"/>
              </w:rPr>
            </w:pPr>
            <w:r>
              <w:rPr>
                <w:rFonts w:ascii="Arial" w:cs="Arial" w:eastAsia="Arial" w:hAnsi="Arial"/>
                <w:sz w:val="20"/>
                <w:szCs w:val="20"/>
                <w:color w:val="auto"/>
              </w:rPr>
              <w:t>(either</w:t>
            </w:r>
          </w:p>
        </w:tc>
        <w:tc>
          <w:tcPr>
            <w:tcW w:w="720" w:type="dxa"/>
            <w:vAlign w:val="bottom"/>
            <w:tcBorders>
              <w:right w:val="single" w:sz="8" w:color="00A1DF"/>
            </w:tcBorders>
            <w:gridSpan w:val="2"/>
          </w:tcPr>
          <w:p>
            <w:pPr>
              <w:jc w:val="right"/>
              <w:spacing w:after="0" w:line="214" w:lineRule="exact"/>
              <w:rPr>
                <w:sz w:val="20"/>
                <w:szCs w:val="20"/>
                <w:color w:val="auto"/>
              </w:rPr>
            </w:pPr>
            <w:r>
              <w:rPr>
                <w:rFonts w:ascii="Arial" w:cs="Arial" w:eastAsia="Arial" w:hAnsi="Arial"/>
                <w:sz w:val="20"/>
                <w:szCs w:val="20"/>
                <w:color w:val="auto"/>
              </w:rPr>
              <w:t>under</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00" w:type="dxa"/>
            <w:vAlign w:val="bottom"/>
          </w:tcPr>
          <w:p>
            <w:pPr>
              <w:ind w:left="120"/>
              <w:spacing w:after="0" w:line="214" w:lineRule="exact"/>
              <w:rPr>
                <w:sz w:val="20"/>
                <w:szCs w:val="20"/>
                <w:color w:val="auto"/>
              </w:rPr>
            </w:pPr>
            <w:r>
              <w:rPr>
                <w:rFonts w:ascii="Arial" w:cs="Arial" w:eastAsia="Arial" w:hAnsi="Arial"/>
                <w:sz w:val="20"/>
                <w:szCs w:val="20"/>
                <w:color w:val="auto"/>
              </w:rPr>
              <w:t>years)</w:t>
            </w:r>
          </w:p>
        </w:tc>
        <w:tc>
          <w:tcPr>
            <w:tcW w:w="460" w:type="dxa"/>
            <w:vAlign w:val="bottom"/>
          </w:tcPr>
          <w:p>
            <w:pPr>
              <w:ind w:left="180"/>
              <w:spacing w:after="0" w:line="214" w:lineRule="exact"/>
              <w:rPr>
                <w:sz w:val="20"/>
                <w:szCs w:val="20"/>
                <w:color w:val="auto"/>
              </w:rPr>
            </w:pPr>
            <w:r>
              <w:rPr>
                <w:rFonts w:ascii="Arial" w:cs="Arial" w:eastAsia="Arial" w:hAnsi="Arial"/>
                <w:sz w:val="20"/>
                <w:szCs w:val="20"/>
                <w:color w:val="auto"/>
              </w:rPr>
              <w:t>to</w:t>
            </w:r>
          </w:p>
        </w:tc>
        <w:tc>
          <w:tcPr>
            <w:tcW w:w="880" w:type="dxa"/>
            <w:vAlign w:val="bottom"/>
            <w:gridSpan w:val="3"/>
          </w:tcPr>
          <w:p>
            <w:pPr>
              <w:ind w:left="80"/>
              <w:spacing w:after="0" w:line="214" w:lineRule="exact"/>
              <w:rPr>
                <w:sz w:val="20"/>
                <w:szCs w:val="20"/>
                <w:color w:val="auto"/>
              </w:rPr>
            </w:pPr>
            <w:r>
              <w:rPr>
                <w:rFonts w:ascii="Arial" w:cs="Arial" w:eastAsia="Arial" w:hAnsi="Arial"/>
                <w:sz w:val="20"/>
                <w:szCs w:val="20"/>
                <w:color w:val="auto"/>
              </w:rPr>
              <w:t>submit</w:t>
            </w:r>
          </w:p>
        </w:tc>
        <w:tc>
          <w:tcPr>
            <w:tcW w:w="860" w:type="dxa"/>
            <w:vAlign w:val="bottom"/>
            <w:tcBorders>
              <w:right w:val="single" w:sz="8" w:color="auto"/>
            </w:tcBorders>
            <w:gridSpan w:val="2"/>
          </w:tcPr>
          <w:p>
            <w:pPr>
              <w:jc w:val="right"/>
              <w:ind w:right="102"/>
              <w:spacing w:after="0" w:line="214" w:lineRule="exact"/>
              <w:rPr>
                <w:sz w:val="20"/>
                <w:szCs w:val="20"/>
                <w:color w:val="auto"/>
              </w:rPr>
            </w:pPr>
            <w:r>
              <w:rPr>
                <w:rFonts w:ascii="Arial" w:cs="Arial" w:eastAsia="Arial" w:hAnsi="Arial"/>
                <w:sz w:val="20"/>
                <w:szCs w:val="20"/>
                <w:color w:val="auto"/>
                <w:w w:val="95"/>
              </w:rPr>
              <w:t>director</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SEC  Rule  14a-8  or  our</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nominees (up to 20% of the</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proxy access bylaw), but is</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00" w:type="dxa"/>
            <w:vAlign w:val="bottom"/>
          </w:tcPr>
          <w:p>
            <w:pPr>
              <w:ind w:left="120"/>
              <w:spacing w:after="0" w:line="214" w:lineRule="exact"/>
              <w:rPr>
                <w:sz w:val="20"/>
                <w:szCs w:val="20"/>
                <w:color w:val="auto"/>
              </w:rPr>
            </w:pPr>
            <w:r>
              <w:rPr>
                <w:rFonts w:ascii="Arial" w:cs="Arial" w:eastAsia="Arial" w:hAnsi="Arial"/>
                <w:sz w:val="20"/>
                <w:szCs w:val="20"/>
                <w:color w:val="auto"/>
              </w:rPr>
              <w:t>Board</w:t>
            </w:r>
          </w:p>
        </w:tc>
        <w:tc>
          <w:tcPr>
            <w:tcW w:w="460" w:type="dxa"/>
            <w:vAlign w:val="bottom"/>
          </w:tcPr>
          <w:p>
            <w:pPr>
              <w:ind w:left="200"/>
              <w:spacing w:after="0" w:line="214" w:lineRule="exact"/>
              <w:rPr>
                <w:sz w:val="20"/>
                <w:szCs w:val="20"/>
                <w:color w:val="auto"/>
              </w:rPr>
            </w:pPr>
            <w:r>
              <w:rPr>
                <w:rFonts w:ascii="Arial" w:cs="Arial" w:eastAsia="Arial" w:hAnsi="Arial"/>
                <w:sz w:val="20"/>
                <w:szCs w:val="20"/>
                <w:color w:val="auto"/>
              </w:rPr>
              <w:t>or</w:t>
            </w:r>
          </w:p>
        </w:tc>
        <w:tc>
          <w:tcPr>
            <w:tcW w:w="500" w:type="dxa"/>
            <w:vAlign w:val="bottom"/>
            <w:gridSpan w:val="2"/>
          </w:tcPr>
          <w:p>
            <w:pPr>
              <w:jc w:val="right"/>
              <w:spacing w:after="0" w:line="214" w:lineRule="exact"/>
              <w:rPr>
                <w:sz w:val="20"/>
                <w:szCs w:val="20"/>
                <w:color w:val="auto"/>
              </w:rPr>
            </w:pPr>
            <w:r>
              <w:rPr>
                <w:rFonts w:ascii="Arial" w:cs="Arial" w:eastAsia="Arial" w:hAnsi="Arial"/>
                <w:sz w:val="20"/>
                <w:szCs w:val="20"/>
                <w:color w:val="auto"/>
              </w:rPr>
              <w:t>two</w:t>
            </w:r>
          </w:p>
        </w:tc>
        <w:tc>
          <w:tcPr>
            <w:tcW w:w="1240" w:type="dxa"/>
            <w:vAlign w:val="bottom"/>
            <w:tcBorders>
              <w:right w:val="single" w:sz="8" w:color="auto"/>
            </w:tcBorders>
            <w:gridSpan w:val="3"/>
          </w:tcPr>
          <w:p>
            <w:pPr>
              <w:jc w:val="right"/>
              <w:ind w:right="102"/>
              <w:spacing w:after="0" w:line="214" w:lineRule="exact"/>
              <w:rPr>
                <w:sz w:val="20"/>
                <w:szCs w:val="20"/>
                <w:color w:val="auto"/>
              </w:rPr>
            </w:pPr>
            <w:r>
              <w:rPr>
                <w:rFonts w:ascii="Arial" w:cs="Arial" w:eastAsia="Arial" w:hAnsi="Arial"/>
                <w:sz w:val="20"/>
                <w:szCs w:val="20"/>
                <w:color w:val="auto"/>
              </w:rPr>
              <w:t>directors,</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rPr>
              <w:t>instead</w:t>
            </w:r>
          </w:p>
        </w:tc>
        <w:tc>
          <w:tcPr>
            <w:tcW w:w="900" w:type="dxa"/>
            <w:vAlign w:val="bottom"/>
            <w:gridSpan w:val="2"/>
          </w:tcPr>
          <w:p>
            <w:pPr>
              <w:ind w:left="20"/>
              <w:spacing w:after="0" w:line="214" w:lineRule="exact"/>
              <w:rPr>
                <w:sz w:val="20"/>
                <w:szCs w:val="20"/>
                <w:color w:val="auto"/>
              </w:rPr>
            </w:pPr>
            <w:r>
              <w:rPr>
                <w:rFonts w:ascii="Arial" w:cs="Arial" w:eastAsia="Arial" w:hAnsi="Arial"/>
                <w:sz w:val="20"/>
                <w:szCs w:val="20"/>
                <w:color w:val="auto"/>
              </w:rPr>
              <w:t>sought</w:t>
            </w:r>
          </w:p>
        </w:tc>
        <w:tc>
          <w:tcPr>
            <w:tcW w:w="360" w:type="dxa"/>
            <w:vAlign w:val="bottom"/>
          </w:tcPr>
          <w:p>
            <w:pPr>
              <w:spacing w:after="0" w:line="214" w:lineRule="exact"/>
              <w:rPr>
                <w:sz w:val="20"/>
                <w:szCs w:val="20"/>
                <w:color w:val="auto"/>
              </w:rPr>
            </w:pPr>
            <w:r>
              <w:rPr>
                <w:rFonts w:ascii="Arial" w:cs="Arial" w:eastAsia="Arial" w:hAnsi="Arial"/>
                <w:sz w:val="20"/>
                <w:szCs w:val="20"/>
                <w:color w:val="auto"/>
              </w:rPr>
              <w:t>to</w:t>
            </w:r>
          </w:p>
        </w:tc>
        <w:tc>
          <w:tcPr>
            <w:tcW w:w="360" w:type="dxa"/>
            <w:vAlign w:val="bottom"/>
            <w:tcBorders>
              <w:right w:val="single" w:sz="8" w:color="00A1DF"/>
            </w:tcBorders>
          </w:tcPr>
          <w:p>
            <w:pPr>
              <w:jc w:val="right"/>
              <w:spacing w:after="0" w:line="214" w:lineRule="exact"/>
              <w:rPr>
                <w:sz w:val="20"/>
                <w:szCs w:val="20"/>
                <w:color w:val="auto"/>
              </w:rPr>
            </w:pPr>
            <w:r>
              <w:rPr>
                <w:rFonts w:ascii="Arial" w:cs="Arial" w:eastAsia="Arial" w:hAnsi="Arial"/>
                <w:sz w:val="20"/>
                <w:szCs w:val="20"/>
                <w:color w:val="auto"/>
              </w:rPr>
              <w:t>be</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whichever</w:t>
            </w:r>
          </w:p>
        </w:tc>
        <w:tc>
          <w:tcPr>
            <w:tcW w:w="280" w:type="dxa"/>
            <w:vAlign w:val="bottom"/>
          </w:tcPr>
          <w:p>
            <w:pPr>
              <w:jc w:val="right"/>
              <w:ind w:right="2"/>
              <w:spacing w:after="0" w:line="214" w:lineRule="exact"/>
              <w:rPr>
                <w:sz w:val="20"/>
                <w:szCs w:val="20"/>
                <w:color w:val="auto"/>
              </w:rPr>
            </w:pPr>
            <w:r>
              <w:rPr>
                <w:rFonts w:ascii="Arial" w:cs="Arial" w:eastAsia="Arial" w:hAnsi="Arial"/>
                <w:sz w:val="20"/>
                <w:szCs w:val="20"/>
                <w:color w:val="auto"/>
              </w:rPr>
              <w:t>is</w:t>
            </w:r>
          </w:p>
        </w:tc>
        <w:tc>
          <w:tcPr>
            <w:tcW w:w="920" w:type="dxa"/>
            <w:vAlign w:val="bottom"/>
            <w:gridSpan w:val="3"/>
          </w:tcPr>
          <w:p>
            <w:pPr>
              <w:ind w:left="120"/>
              <w:spacing w:after="0" w:line="214" w:lineRule="exact"/>
              <w:rPr>
                <w:sz w:val="20"/>
                <w:szCs w:val="20"/>
                <w:color w:val="auto"/>
              </w:rPr>
            </w:pPr>
            <w:r>
              <w:rPr>
                <w:rFonts w:ascii="Arial" w:cs="Arial" w:eastAsia="Arial" w:hAnsi="Arial"/>
                <w:sz w:val="20"/>
                <w:szCs w:val="20"/>
                <w:color w:val="auto"/>
              </w:rPr>
              <w:t>greater)</w:t>
            </w:r>
          </w:p>
        </w:tc>
        <w:tc>
          <w:tcPr>
            <w:tcW w:w="54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for</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w w:val="96"/>
              </w:rPr>
              <w:t>presented</w:t>
            </w:r>
          </w:p>
        </w:tc>
        <w:tc>
          <w:tcPr>
            <w:tcW w:w="900" w:type="dxa"/>
            <w:vAlign w:val="bottom"/>
            <w:gridSpan w:val="2"/>
          </w:tcPr>
          <w:p>
            <w:pPr>
              <w:ind w:left="160"/>
              <w:spacing w:after="0" w:line="214" w:lineRule="exact"/>
              <w:rPr>
                <w:sz w:val="20"/>
                <w:szCs w:val="20"/>
                <w:color w:val="auto"/>
              </w:rPr>
            </w:pPr>
            <w:r>
              <w:rPr>
                <w:rFonts w:ascii="Arial" w:cs="Arial" w:eastAsia="Arial" w:hAnsi="Arial"/>
                <w:sz w:val="20"/>
                <w:szCs w:val="20"/>
                <w:color w:val="auto"/>
              </w:rPr>
              <w:t>directly</w:t>
            </w:r>
          </w:p>
        </w:tc>
        <w:tc>
          <w:tcPr>
            <w:tcW w:w="360" w:type="dxa"/>
            <w:vAlign w:val="bottom"/>
          </w:tcPr>
          <w:p>
            <w:pPr>
              <w:ind w:left="40"/>
              <w:spacing w:after="0" w:line="214" w:lineRule="exact"/>
              <w:rPr>
                <w:sz w:val="20"/>
                <w:szCs w:val="20"/>
                <w:color w:val="auto"/>
              </w:rPr>
            </w:pPr>
            <w:r>
              <w:rPr>
                <w:rFonts w:ascii="Arial" w:cs="Arial" w:eastAsia="Arial" w:hAnsi="Arial"/>
                <w:sz w:val="20"/>
                <w:szCs w:val="20"/>
                <w:color w:val="auto"/>
              </w:rPr>
              <w:t>at</w:t>
            </w:r>
          </w:p>
        </w:tc>
        <w:tc>
          <w:tcPr>
            <w:tcW w:w="360" w:type="dxa"/>
            <w:vAlign w:val="bottom"/>
            <w:tcBorders>
              <w:right w:val="single" w:sz="8" w:color="00A1DF"/>
            </w:tcBorders>
          </w:tcPr>
          <w:p>
            <w:pPr>
              <w:jc w:val="right"/>
              <w:spacing w:after="0" w:line="214" w:lineRule="exact"/>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inclusion</w:t>
            </w:r>
          </w:p>
        </w:tc>
        <w:tc>
          <w:tcPr>
            <w:tcW w:w="280" w:type="dxa"/>
            <w:vAlign w:val="bottom"/>
          </w:tcPr>
          <w:p>
            <w:pPr>
              <w:jc w:val="right"/>
              <w:ind w:right="22"/>
              <w:spacing w:after="0" w:line="214" w:lineRule="exact"/>
              <w:rPr>
                <w:sz w:val="20"/>
                <w:szCs w:val="20"/>
                <w:color w:val="auto"/>
              </w:rPr>
            </w:pPr>
            <w:r>
              <w:rPr>
                <w:rFonts w:ascii="Arial" w:cs="Arial" w:eastAsia="Arial" w:hAnsi="Arial"/>
                <w:sz w:val="20"/>
                <w:szCs w:val="20"/>
                <w:color w:val="auto"/>
                <w:w w:val="89"/>
              </w:rPr>
              <w:t>in</w:t>
            </w:r>
          </w:p>
        </w:tc>
        <w:tc>
          <w:tcPr>
            <w:tcW w:w="60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6"/>
              </w:rPr>
              <w:t>our</w:t>
            </w:r>
          </w:p>
        </w:tc>
        <w:tc>
          <w:tcPr>
            <w:tcW w:w="860" w:type="dxa"/>
            <w:vAlign w:val="bottom"/>
            <w:tcBorders>
              <w:right w:val="single" w:sz="8" w:color="auto"/>
            </w:tcBorders>
            <w:gridSpan w:val="2"/>
          </w:tcPr>
          <w:p>
            <w:pPr>
              <w:jc w:val="right"/>
              <w:ind w:right="102"/>
              <w:spacing w:after="0" w:line="214" w:lineRule="exact"/>
              <w:rPr>
                <w:sz w:val="20"/>
                <w:szCs w:val="20"/>
                <w:color w:val="auto"/>
              </w:rPr>
            </w:pPr>
            <w:r>
              <w:rPr>
                <w:rFonts w:ascii="Arial" w:cs="Arial" w:eastAsia="Arial" w:hAnsi="Arial"/>
                <w:sz w:val="20"/>
                <w:szCs w:val="20"/>
                <w:color w:val="auto"/>
              </w:rPr>
              <w:t>Proxy</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next year’s annual meeting</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Statement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line="214" w:lineRule="exact"/>
              <w:rPr>
                <w:sz w:val="20"/>
                <w:szCs w:val="20"/>
                <w:color w:val="auto"/>
              </w:rPr>
            </w:pPr>
            <w:r>
              <w:rPr>
                <w:rFonts w:ascii="Arial" w:cs="Arial" w:eastAsia="Arial" w:hAnsi="Arial"/>
                <w:sz w:val="20"/>
                <w:szCs w:val="20"/>
                <w:color w:val="auto"/>
              </w:rPr>
              <w:t>if</w:t>
            </w:r>
          </w:p>
        </w:tc>
        <w:tc>
          <w:tcPr>
            <w:tcW w:w="320" w:type="dxa"/>
            <w:vAlign w:val="bottom"/>
          </w:tcPr>
          <w:p>
            <w:pPr>
              <w:spacing w:after="0"/>
              <w:rPr>
                <w:sz w:val="18"/>
                <w:szCs w:val="18"/>
                <w:color w:val="auto"/>
              </w:rPr>
            </w:pPr>
          </w:p>
        </w:tc>
        <w:tc>
          <w:tcPr>
            <w:tcW w:w="54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the</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must  be  received  at  our</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40" w:type="dxa"/>
            <w:vAlign w:val="bottom"/>
            <w:gridSpan w:val="3"/>
          </w:tcPr>
          <w:p>
            <w:pPr>
              <w:ind w:left="120"/>
              <w:spacing w:after="0" w:line="214" w:lineRule="exact"/>
              <w:rPr>
                <w:sz w:val="20"/>
                <w:szCs w:val="20"/>
                <w:color w:val="auto"/>
              </w:rPr>
            </w:pPr>
            <w:r>
              <w:rPr>
                <w:rFonts w:ascii="Arial" w:cs="Arial" w:eastAsia="Arial" w:hAnsi="Arial"/>
                <w:sz w:val="20"/>
                <w:szCs w:val="20"/>
                <w:color w:val="auto"/>
              </w:rPr>
              <w:t>shareholder(s)</w:t>
            </w:r>
          </w:p>
        </w:tc>
        <w:tc>
          <w:tcPr>
            <w:tcW w:w="220" w:type="dxa"/>
            <w:vAlign w:val="bottom"/>
          </w:tcPr>
          <w:p>
            <w:pPr>
              <w:spacing w:after="0"/>
              <w:rPr>
                <w:sz w:val="18"/>
                <w:szCs w:val="18"/>
                <w:color w:val="auto"/>
              </w:rPr>
            </w:pPr>
          </w:p>
        </w:tc>
        <w:tc>
          <w:tcPr>
            <w:tcW w:w="700" w:type="dxa"/>
            <w:vAlign w:val="bottom"/>
            <w:gridSpan w:val="2"/>
          </w:tcPr>
          <w:p>
            <w:pPr>
              <w:ind w:left="80"/>
              <w:spacing w:after="0" w:line="214" w:lineRule="exact"/>
              <w:rPr>
                <w:sz w:val="20"/>
                <w:szCs w:val="20"/>
                <w:color w:val="auto"/>
              </w:rPr>
            </w:pPr>
            <w:r>
              <w:rPr>
                <w:rFonts w:ascii="Arial" w:cs="Arial" w:eastAsia="Arial" w:hAnsi="Arial"/>
                <w:sz w:val="20"/>
                <w:szCs w:val="20"/>
                <w:color w:val="auto"/>
              </w:rPr>
              <w:t>and</w:t>
            </w:r>
          </w:p>
        </w:tc>
        <w:tc>
          <w:tcPr>
            <w:tcW w:w="54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the</w:t>
            </w: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rPr>
              <w:t>principal</w:t>
            </w:r>
          </w:p>
        </w:tc>
        <w:tc>
          <w:tcPr>
            <w:tcW w:w="900" w:type="dxa"/>
            <w:vAlign w:val="bottom"/>
            <w:gridSpan w:val="2"/>
          </w:tcPr>
          <w:p>
            <w:pPr>
              <w:spacing w:after="0" w:line="214" w:lineRule="exact"/>
              <w:rPr>
                <w:sz w:val="20"/>
                <w:szCs w:val="20"/>
                <w:color w:val="auto"/>
              </w:rPr>
            </w:pPr>
            <w:r>
              <w:rPr>
                <w:rFonts w:ascii="Arial" w:cs="Arial" w:eastAsia="Arial" w:hAnsi="Arial"/>
                <w:sz w:val="20"/>
                <w:szCs w:val="20"/>
                <w:color w:val="auto"/>
              </w:rPr>
              <w:t>executive</w:t>
            </w:r>
          </w:p>
        </w:tc>
        <w:tc>
          <w:tcPr>
            <w:tcW w:w="720" w:type="dxa"/>
            <w:vAlign w:val="bottom"/>
            <w:tcBorders>
              <w:right w:val="single" w:sz="8" w:color="00A1DF"/>
            </w:tcBorders>
            <w:gridSpan w:val="2"/>
          </w:tcPr>
          <w:p>
            <w:pPr>
              <w:jc w:val="right"/>
              <w:spacing w:after="0" w:line="214" w:lineRule="exact"/>
              <w:rPr>
                <w:sz w:val="20"/>
                <w:szCs w:val="20"/>
                <w:color w:val="auto"/>
              </w:rPr>
            </w:pPr>
            <w:r>
              <w:rPr>
                <w:rFonts w:ascii="Arial" w:cs="Arial" w:eastAsia="Arial" w:hAnsi="Arial"/>
                <w:sz w:val="20"/>
                <w:szCs w:val="20"/>
                <w:color w:val="auto"/>
              </w:rPr>
              <w:t>offices</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nominee(s)</w:t>
            </w:r>
          </w:p>
        </w:tc>
        <w:tc>
          <w:tcPr>
            <w:tcW w:w="280" w:type="dxa"/>
            <w:vAlign w:val="bottom"/>
          </w:tcPr>
          <w:p>
            <w:pPr>
              <w:spacing w:after="0"/>
              <w:rPr>
                <w:sz w:val="18"/>
                <w:szCs w:val="18"/>
                <w:color w:val="auto"/>
              </w:rPr>
            </w:pPr>
          </w:p>
        </w:tc>
        <w:tc>
          <w:tcPr>
            <w:tcW w:w="60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8"/>
              </w:rPr>
              <w:t>satisfy</w:t>
            </w:r>
          </w:p>
        </w:tc>
        <w:tc>
          <w:tcPr>
            <w:tcW w:w="320" w:type="dxa"/>
            <w:vAlign w:val="bottom"/>
          </w:tcPr>
          <w:p>
            <w:pPr>
              <w:spacing w:after="0"/>
              <w:rPr>
                <w:sz w:val="18"/>
                <w:szCs w:val="18"/>
                <w:color w:val="auto"/>
              </w:rPr>
            </w:pPr>
          </w:p>
        </w:tc>
        <w:tc>
          <w:tcPr>
            <w:tcW w:w="54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rPr>
              <w:t>the</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no  earlier  than  180  days</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gridSpan w:val="7"/>
          </w:tcPr>
          <w:p>
            <w:pPr>
              <w:ind w:left="120"/>
              <w:spacing w:after="0" w:line="214" w:lineRule="exact"/>
              <w:rPr>
                <w:sz w:val="20"/>
                <w:szCs w:val="20"/>
                <w:color w:val="auto"/>
              </w:rPr>
            </w:pPr>
            <w:r>
              <w:rPr>
                <w:rFonts w:ascii="Arial" w:cs="Arial" w:eastAsia="Arial" w:hAnsi="Arial"/>
                <w:sz w:val="20"/>
                <w:szCs w:val="20"/>
                <w:color w:val="auto"/>
              </w:rPr>
              <w:t>requirements specified in our</w:t>
            </w: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and no later than 120 days</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Bylaws.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620" w:type="dxa"/>
            <w:vAlign w:val="bottom"/>
            <w:tcBorders>
              <w:right w:val="single" w:sz="8" w:color="00A1DF"/>
            </w:tcBorders>
            <w:gridSpan w:val="5"/>
          </w:tcPr>
          <w:p>
            <w:pPr>
              <w:ind w:left="120"/>
              <w:spacing w:after="0" w:line="214" w:lineRule="exact"/>
              <w:rPr>
                <w:sz w:val="20"/>
                <w:szCs w:val="20"/>
                <w:color w:val="auto"/>
              </w:rPr>
            </w:pPr>
            <w:r>
              <w:rPr>
                <w:rFonts w:ascii="Arial" w:cs="Arial" w:eastAsia="Arial" w:hAnsi="Arial"/>
                <w:sz w:val="20"/>
                <w:szCs w:val="20"/>
                <w:color w:val="auto"/>
              </w:rPr>
              <w:t>before the first anniversary</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000" w:type="dxa"/>
            <w:vAlign w:val="bottom"/>
          </w:tcPr>
          <w:p>
            <w:pPr>
              <w:ind w:left="120"/>
              <w:spacing w:after="0" w:line="214" w:lineRule="exact"/>
              <w:rPr>
                <w:sz w:val="20"/>
                <w:szCs w:val="20"/>
                <w:color w:val="auto"/>
              </w:rPr>
            </w:pPr>
            <w:r>
              <w:rPr>
                <w:rFonts w:ascii="Arial" w:cs="Arial" w:eastAsia="Arial" w:hAnsi="Arial"/>
                <w:sz w:val="20"/>
                <w:szCs w:val="20"/>
                <w:color w:val="auto"/>
              </w:rPr>
              <w:t>of   this</w:t>
            </w:r>
          </w:p>
        </w:tc>
        <w:tc>
          <w:tcPr>
            <w:tcW w:w="900" w:type="dxa"/>
            <w:vAlign w:val="bottom"/>
            <w:gridSpan w:val="2"/>
          </w:tcPr>
          <w:p>
            <w:pPr>
              <w:ind w:left="140"/>
              <w:spacing w:after="0" w:line="214" w:lineRule="exact"/>
              <w:rPr>
                <w:sz w:val="20"/>
                <w:szCs w:val="20"/>
                <w:color w:val="auto"/>
              </w:rPr>
            </w:pPr>
            <w:r>
              <w:rPr>
                <w:rFonts w:ascii="Arial" w:cs="Arial" w:eastAsia="Arial" w:hAnsi="Arial"/>
                <w:sz w:val="20"/>
                <w:szCs w:val="20"/>
                <w:color w:val="auto"/>
              </w:rPr>
              <w:t>year’s</w:t>
            </w:r>
          </w:p>
        </w:tc>
        <w:tc>
          <w:tcPr>
            <w:tcW w:w="720" w:type="dxa"/>
            <w:vAlign w:val="bottom"/>
            <w:tcBorders>
              <w:right w:val="single" w:sz="8" w:color="00A1DF"/>
            </w:tcBorders>
            <w:gridSpan w:val="2"/>
          </w:tcPr>
          <w:p>
            <w:pPr>
              <w:jc w:val="right"/>
              <w:spacing w:after="0" w:line="214" w:lineRule="exact"/>
              <w:rPr>
                <w:sz w:val="20"/>
                <w:szCs w:val="20"/>
                <w:color w:val="auto"/>
              </w:rPr>
            </w:pPr>
            <w:r>
              <w:rPr>
                <w:rFonts w:ascii="Arial" w:cs="Arial" w:eastAsia="Arial" w:hAnsi="Arial"/>
                <w:sz w:val="20"/>
                <w:szCs w:val="20"/>
                <w:color w:val="auto"/>
              </w:rPr>
              <w:t>Annual</w:t>
            </w:r>
          </w:p>
        </w:tc>
        <w:tc>
          <w:tcPr>
            <w:tcW w:w="0" w:type="dxa"/>
            <w:vAlign w:val="bottom"/>
          </w:tcPr>
          <w:p>
            <w:pPr>
              <w:spacing w:after="0"/>
              <w:rPr>
                <w:sz w:val="1"/>
                <w:szCs w:val="1"/>
                <w:color w:val="auto"/>
              </w:rPr>
            </w:pPr>
          </w:p>
        </w:tc>
      </w:tr>
      <w:tr>
        <w:trPr>
          <w:trHeight w:val="235"/>
        </w:trPr>
        <w:tc>
          <w:tcPr>
            <w:tcW w:w="2380" w:type="dxa"/>
            <w:vAlign w:val="bottom"/>
            <w:tcBorders>
              <w:left w:val="single" w:sz="8" w:color="00A1DF"/>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 w:type="dxa"/>
            <w:vAlign w:val="bottom"/>
          </w:tcPr>
          <w:p>
            <w:pPr>
              <w:ind w:left="120"/>
              <w:spacing w:after="0"/>
              <w:rPr>
                <w:sz w:val="20"/>
                <w:szCs w:val="20"/>
                <w:color w:val="auto"/>
              </w:rPr>
            </w:pPr>
            <w:r>
              <w:rPr>
                <w:rFonts w:ascii="Arial" w:cs="Arial" w:eastAsia="Arial" w:hAnsi="Arial"/>
                <w:sz w:val="20"/>
                <w:szCs w:val="20"/>
                <w:color w:val="auto"/>
              </w:rPr>
              <w:t>Meeting.</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right w:val="single" w:sz="8" w:color="00A1DF"/>
            </w:tcBorders>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380" w:type="dxa"/>
            <w:vAlign w:val="bottom"/>
            <w:tcBorders>
              <w:left w:val="single" w:sz="8" w:color="00A1DF"/>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gridSpan w:val="6"/>
          </w:tcPr>
          <w:p>
            <w:pPr>
              <w:spacing w:after="0"/>
              <w:rPr>
                <w:sz w:val="5"/>
                <w:szCs w:val="5"/>
                <w:color w:val="auto"/>
              </w:rPr>
            </w:pPr>
          </w:p>
        </w:tc>
        <w:tc>
          <w:tcPr>
            <w:tcW w:w="2900" w:type="dxa"/>
            <w:vAlign w:val="bottom"/>
            <w:tcBorders>
              <w:bottom w:val="single" w:sz="8" w:color="auto"/>
              <w:right w:val="single" w:sz="8" w:color="auto"/>
            </w:tcBorders>
            <w:gridSpan w:val="7"/>
          </w:tcPr>
          <w:p>
            <w:pPr>
              <w:spacing w:after="0"/>
              <w:rPr>
                <w:sz w:val="5"/>
                <w:szCs w:val="5"/>
                <w:color w:val="auto"/>
              </w:rPr>
            </w:pPr>
          </w:p>
        </w:tc>
        <w:tc>
          <w:tcPr>
            <w:tcW w:w="2620" w:type="dxa"/>
            <w:vAlign w:val="bottom"/>
            <w:tcBorders>
              <w:bottom w:val="single" w:sz="8" w:color="auto"/>
              <w:right w:val="single" w:sz="8" w:color="00A1DF"/>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80" w:type="dxa"/>
            <w:vAlign w:val="bottom"/>
            <w:tcBorders>
              <w:left w:val="single" w:sz="8" w:color="00A1DF"/>
              <w:right w:val="single" w:sz="8" w:color="auto"/>
            </w:tcBorders>
          </w:tcPr>
          <w:p>
            <w:pPr>
              <w:ind w:left="240"/>
              <w:spacing w:after="0" w:line="180" w:lineRule="exact"/>
              <w:rPr>
                <w:sz w:val="20"/>
                <w:szCs w:val="20"/>
                <w:color w:val="auto"/>
              </w:rPr>
            </w:pPr>
            <w:r>
              <w:rPr>
                <w:rFonts w:ascii="Arial" w:cs="Arial" w:eastAsia="Arial" w:hAnsi="Arial"/>
                <w:sz w:val="20"/>
                <w:szCs w:val="20"/>
                <w:b w:val="1"/>
                <w:bCs w:val="1"/>
                <w:color w:val="00A1DF"/>
              </w:rPr>
              <w:t>Deadline for</w:t>
            </w:r>
          </w:p>
        </w:tc>
        <w:tc>
          <w:tcPr>
            <w:tcW w:w="3040" w:type="dxa"/>
            <w:vAlign w:val="bottom"/>
            <w:tcBorders>
              <w:right w:val="single" w:sz="8" w:color="auto"/>
            </w:tcBorders>
            <w:gridSpan w:val="6"/>
          </w:tcPr>
          <w:p>
            <w:pPr>
              <w:ind w:left="120"/>
              <w:spacing w:after="0" w:line="180" w:lineRule="exact"/>
              <w:rPr>
                <w:sz w:val="20"/>
                <w:szCs w:val="20"/>
                <w:color w:val="auto"/>
              </w:rPr>
            </w:pPr>
            <w:r>
              <w:rPr>
                <w:rFonts w:ascii="Arial" w:cs="Arial" w:eastAsia="Arial" w:hAnsi="Arial"/>
                <w:sz w:val="20"/>
                <w:szCs w:val="20"/>
                <w:color w:val="auto"/>
              </w:rPr>
              <w:t>Proposals must be received at</w:t>
            </w:r>
          </w:p>
        </w:tc>
        <w:tc>
          <w:tcPr>
            <w:tcW w:w="5520" w:type="dxa"/>
            <w:vAlign w:val="bottom"/>
            <w:tcBorders>
              <w:right w:val="single" w:sz="8" w:color="00A1DF"/>
            </w:tcBorders>
            <w:gridSpan w:val="12"/>
          </w:tcPr>
          <w:p>
            <w:pPr>
              <w:ind w:left="120"/>
              <w:spacing w:after="0" w:line="180" w:lineRule="exact"/>
              <w:rPr>
                <w:sz w:val="20"/>
                <w:szCs w:val="20"/>
                <w:color w:val="auto"/>
              </w:rPr>
            </w:pPr>
            <w:r>
              <w:rPr>
                <w:rFonts w:ascii="Arial" w:cs="Arial" w:eastAsia="Arial" w:hAnsi="Arial"/>
                <w:sz w:val="20"/>
                <w:szCs w:val="20"/>
                <w:color w:val="auto"/>
              </w:rPr>
              <w:t xml:space="preserve">Proposals must be sent no earlier than </w:t>
            </w:r>
            <w:r>
              <w:rPr>
                <w:rFonts w:ascii="Arial" w:cs="Arial" w:eastAsia="Arial" w:hAnsi="Arial"/>
                <w:sz w:val="20"/>
                <w:szCs w:val="20"/>
                <w:b w:val="1"/>
                <w:bCs w:val="1"/>
                <w:color w:val="auto"/>
              </w:rPr>
              <w:t>December 18, 2020</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4"/>
        </w:trPr>
        <w:tc>
          <w:tcPr>
            <w:tcW w:w="2380" w:type="dxa"/>
            <w:vAlign w:val="bottom"/>
            <w:tcBorders>
              <w:left w:val="single" w:sz="8" w:color="00A1DF"/>
              <w:right w:val="single" w:sz="8" w:color="auto"/>
            </w:tcBorders>
          </w:tcPr>
          <w:p>
            <w:pPr>
              <w:ind w:left="240"/>
              <w:spacing w:after="0" w:line="214" w:lineRule="exact"/>
              <w:rPr>
                <w:sz w:val="20"/>
                <w:szCs w:val="20"/>
                <w:color w:val="auto"/>
              </w:rPr>
            </w:pPr>
            <w:r>
              <w:rPr>
                <w:rFonts w:ascii="Arial" w:cs="Arial" w:eastAsia="Arial" w:hAnsi="Arial"/>
                <w:sz w:val="20"/>
                <w:szCs w:val="20"/>
                <w:b w:val="1"/>
                <w:bCs w:val="1"/>
                <w:color w:val="00A1DF"/>
              </w:rPr>
              <w:t>Submitting These</w:t>
            </w:r>
          </w:p>
        </w:tc>
        <w:tc>
          <w:tcPr>
            <w:tcW w:w="1260" w:type="dxa"/>
            <w:vAlign w:val="bottom"/>
            <w:gridSpan w:val="2"/>
          </w:tcPr>
          <w:p>
            <w:pPr>
              <w:ind w:left="120"/>
              <w:spacing w:after="0" w:line="214" w:lineRule="exact"/>
              <w:rPr>
                <w:sz w:val="20"/>
                <w:szCs w:val="20"/>
                <w:color w:val="auto"/>
              </w:rPr>
            </w:pPr>
            <w:r>
              <w:rPr>
                <w:rFonts w:ascii="Arial" w:cs="Arial" w:eastAsia="Arial" w:hAnsi="Arial"/>
                <w:sz w:val="20"/>
                <w:szCs w:val="20"/>
                <w:color w:val="auto"/>
              </w:rPr>
              <w:t>our principal</w:t>
            </w:r>
          </w:p>
        </w:tc>
        <w:tc>
          <w:tcPr>
            <w:tcW w:w="1000" w:type="dxa"/>
            <w:vAlign w:val="bottom"/>
            <w:gridSpan w:val="3"/>
          </w:tcPr>
          <w:p>
            <w:pPr>
              <w:ind w:left="80"/>
              <w:spacing w:after="0" w:line="214" w:lineRule="exact"/>
              <w:rPr>
                <w:sz w:val="20"/>
                <w:szCs w:val="20"/>
                <w:color w:val="auto"/>
              </w:rPr>
            </w:pPr>
            <w:r>
              <w:rPr>
                <w:rFonts w:ascii="Arial" w:cs="Arial" w:eastAsia="Arial" w:hAnsi="Arial"/>
                <w:sz w:val="20"/>
                <w:szCs w:val="20"/>
                <w:color w:val="auto"/>
              </w:rPr>
              <w:t>executive</w:t>
            </w:r>
          </w:p>
        </w:tc>
        <w:tc>
          <w:tcPr>
            <w:tcW w:w="780" w:type="dxa"/>
            <w:vAlign w:val="bottom"/>
            <w:tcBorders>
              <w:right w:val="single" w:sz="8" w:color="auto"/>
            </w:tcBorders>
          </w:tcPr>
          <w:p>
            <w:pPr>
              <w:jc w:val="right"/>
              <w:ind w:right="102"/>
              <w:spacing w:after="0" w:line="214" w:lineRule="exact"/>
              <w:rPr>
                <w:sz w:val="20"/>
                <w:szCs w:val="20"/>
                <w:color w:val="auto"/>
              </w:rPr>
            </w:pPr>
            <w:r>
              <w:rPr>
                <w:rFonts w:ascii="Arial" w:cs="Arial" w:eastAsia="Arial" w:hAnsi="Arial"/>
                <w:sz w:val="20"/>
                <w:szCs w:val="20"/>
                <w:color w:val="auto"/>
                <w:w w:val="96"/>
              </w:rPr>
              <w:t>offices</w:t>
            </w:r>
          </w:p>
        </w:tc>
        <w:tc>
          <w:tcPr>
            <w:tcW w:w="5520" w:type="dxa"/>
            <w:vAlign w:val="bottom"/>
            <w:tcBorders>
              <w:right w:val="single" w:sz="8" w:color="00A1DF"/>
            </w:tcBorders>
            <w:gridSpan w:val="12"/>
          </w:tcPr>
          <w:p>
            <w:pPr>
              <w:ind w:left="120"/>
              <w:spacing w:after="0" w:line="214" w:lineRule="exact"/>
              <w:rPr>
                <w:sz w:val="20"/>
                <w:szCs w:val="20"/>
                <w:color w:val="auto"/>
              </w:rPr>
            </w:pPr>
            <w:r>
              <w:rPr>
                <w:rFonts w:ascii="Arial" w:cs="Arial" w:eastAsia="Arial" w:hAnsi="Arial"/>
                <w:sz w:val="20"/>
                <w:szCs w:val="20"/>
                <w:color w:val="auto"/>
              </w:rPr>
              <w:t xml:space="preserve">and no later than 11:59 p.m. Eastern Time on </w:t>
            </w:r>
            <w:r>
              <w:rPr>
                <w:rFonts w:ascii="Arial" w:cs="Arial" w:eastAsia="Arial" w:hAnsi="Arial"/>
                <w:sz w:val="20"/>
                <w:szCs w:val="20"/>
                <w:b w:val="1"/>
                <w:bCs w:val="1"/>
                <w:color w:val="auto"/>
              </w:rPr>
              <w:t>February 16,</w:t>
            </w:r>
          </w:p>
        </w:tc>
        <w:tc>
          <w:tcPr>
            <w:tcW w:w="0" w:type="dxa"/>
            <w:vAlign w:val="bottom"/>
          </w:tcPr>
          <w:p>
            <w:pPr>
              <w:spacing w:after="0"/>
              <w:rPr>
                <w:sz w:val="1"/>
                <w:szCs w:val="1"/>
                <w:color w:val="auto"/>
              </w:rPr>
            </w:pPr>
          </w:p>
        </w:tc>
      </w:tr>
      <w:tr>
        <w:trPr>
          <w:trHeight w:val="238"/>
        </w:trPr>
        <w:tc>
          <w:tcPr>
            <w:tcW w:w="2380" w:type="dxa"/>
            <w:vAlign w:val="bottom"/>
            <w:tcBorders>
              <w:left w:val="single" w:sz="8" w:color="00A1DF"/>
              <w:right w:val="single" w:sz="8" w:color="auto"/>
            </w:tcBorders>
          </w:tcPr>
          <w:p>
            <w:pPr>
              <w:ind w:left="240"/>
              <w:spacing w:after="0"/>
              <w:rPr>
                <w:sz w:val="20"/>
                <w:szCs w:val="20"/>
                <w:color w:val="auto"/>
              </w:rPr>
            </w:pPr>
            <w:r>
              <w:rPr>
                <w:rFonts w:ascii="Arial" w:cs="Arial" w:eastAsia="Arial" w:hAnsi="Arial"/>
                <w:sz w:val="20"/>
                <w:szCs w:val="20"/>
                <w:b w:val="1"/>
                <w:bCs w:val="1"/>
                <w:color w:val="00A1DF"/>
              </w:rPr>
              <w:t>Proposals</w:t>
            </w:r>
          </w:p>
        </w:tc>
        <w:tc>
          <w:tcPr>
            <w:tcW w:w="3040" w:type="dxa"/>
            <w:vAlign w:val="bottom"/>
            <w:tcBorders>
              <w:right w:val="single" w:sz="8" w:color="auto"/>
            </w:tcBorders>
            <w:gridSpan w:val="6"/>
          </w:tcPr>
          <w:p>
            <w:pPr>
              <w:ind w:left="120"/>
              <w:spacing w:after="0"/>
              <w:rPr>
                <w:sz w:val="20"/>
                <w:szCs w:val="20"/>
                <w:color w:val="auto"/>
              </w:rPr>
            </w:pPr>
            <w:r>
              <w:rPr>
                <w:rFonts w:ascii="Arial" w:cs="Arial" w:eastAsia="Arial" w:hAnsi="Arial"/>
                <w:sz w:val="20"/>
                <w:szCs w:val="20"/>
                <w:color w:val="auto"/>
              </w:rPr>
              <w:t>no  later  than  11:59  p.m.</w:t>
            </w:r>
          </w:p>
        </w:tc>
        <w:tc>
          <w:tcPr>
            <w:tcW w:w="700" w:type="dxa"/>
            <w:vAlign w:val="bottom"/>
          </w:tcPr>
          <w:p>
            <w:pPr>
              <w:ind w:left="120"/>
              <w:spacing w:after="0"/>
              <w:rPr>
                <w:sz w:val="20"/>
                <w:szCs w:val="20"/>
                <w:color w:val="auto"/>
              </w:rPr>
            </w:pPr>
            <w:r>
              <w:rPr>
                <w:rFonts w:ascii="Arial" w:cs="Arial" w:eastAsia="Arial" w:hAnsi="Arial"/>
                <w:sz w:val="20"/>
                <w:szCs w:val="20"/>
                <w:b w:val="1"/>
                <w:bCs w:val="1"/>
                <w:color w:val="auto"/>
              </w:rPr>
              <w:t>2021.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right w:val="single" w:sz="8" w:color="00A1D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380" w:type="dxa"/>
            <w:vAlign w:val="bottom"/>
            <w:tcBorders>
              <w:left w:val="single" w:sz="8" w:color="00A1DF"/>
              <w:right w:val="single" w:sz="8" w:color="auto"/>
            </w:tcBorders>
          </w:tcPr>
          <w:p>
            <w:pPr>
              <w:spacing w:after="0"/>
              <w:rPr>
                <w:sz w:val="16"/>
                <w:szCs w:val="16"/>
                <w:color w:val="auto"/>
              </w:rPr>
            </w:pPr>
          </w:p>
        </w:tc>
        <w:tc>
          <w:tcPr>
            <w:tcW w:w="820" w:type="dxa"/>
            <w:vAlign w:val="bottom"/>
          </w:tcPr>
          <w:p>
            <w:pPr>
              <w:ind w:left="120"/>
              <w:spacing w:after="0" w:line="190" w:lineRule="exact"/>
              <w:rPr>
                <w:sz w:val="20"/>
                <w:szCs w:val="20"/>
                <w:color w:val="auto"/>
              </w:rPr>
            </w:pPr>
            <w:r>
              <w:rPr>
                <w:rFonts w:ascii="Arial" w:cs="Arial" w:eastAsia="Arial" w:hAnsi="Arial"/>
                <w:sz w:val="20"/>
                <w:szCs w:val="20"/>
                <w:color w:val="auto"/>
                <w:w w:val="98"/>
              </w:rPr>
              <w:t>Eastern</w:t>
            </w:r>
          </w:p>
        </w:tc>
        <w:tc>
          <w:tcPr>
            <w:tcW w:w="440" w:type="dxa"/>
            <w:vAlign w:val="bottom"/>
          </w:tcPr>
          <w:p>
            <w:pPr>
              <w:spacing w:after="0"/>
              <w:rPr>
                <w:sz w:val="16"/>
                <w:szCs w:val="16"/>
                <w:color w:val="auto"/>
              </w:rPr>
            </w:pPr>
          </w:p>
        </w:tc>
        <w:tc>
          <w:tcPr>
            <w:tcW w:w="780" w:type="dxa"/>
            <w:vAlign w:val="bottom"/>
            <w:gridSpan w:val="2"/>
          </w:tcPr>
          <w:p>
            <w:pPr>
              <w:ind w:left="240"/>
              <w:spacing w:after="0" w:line="190" w:lineRule="exact"/>
              <w:rPr>
                <w:sz w:val="20"/>
                <w:szCs w:val="20"/>
                <w:color w:val="auto"/>
              </w:rPr>
            </w:pPr>
            <w:r>
              <w:rPr>
                <w:rFonts w:ascii="Arial" w:cs="Arial" w:eastAsia="Arial" w:hAnsi="Arial"/>
                <w:sz w:val="20"/>
                <w:szCs w:val="20"/>
                <w:color w:val="auto"/>
              </w:rPr>
              <w:t>Time</w:t>
            </w:r>
          </w:p>
        </w:tc>
        <w:tc>
          <w:tcPr>
            <w:tcW w:w="220" w:type="dxa"/>
            <w:vAlign w:val="bottom"/>
          </w:tcPr>
          <w:p>
            <w:pPr>
              <w:spacing w:after="0"/>
              <w:rPr>
                <w:sz w:val="16"/>
                <w:szCs w:val="16"/>
                <w:color w:val="auto"/>
              </w:rPr>
            </w:pPr>
          </w:p>
        </w:tc>
        <w:tc>
          <w:tcPr>
            <w:tcW w:w="780" w:type="dxa"/>
            <w:vAlign w:val="bottom"/>
            <w:tcBorders>
              <w:right w:val="single" w:sz="8" w:color="auto"/>
            </w:tcBorders>
          </w:tcPr>
          <w:p>
            <w:pPr>
              <w:jc w:val="right"/>
              <w:ind w:right="102"/>
              <w:spacing w:after="0" w:line="190" w:lineRule="exact"/>
              <w:rPr>
                <w:sz w:val="20"/>
                <w:szCs w:val="20"/>
                <w:color w:val="auto"/>
              </w:rPr>
            </w:pPr>
            <w:r>
              <w:rPr>
                <w:rFonts w:ascii="Arial" w:cs="Arial" w:eastAsia="Arial" w:hAnsi="Arial"/>
                <w:sz w:val="20"/>
                <w:szCs w:val="20"/>
                <w:color w:val="auto"/>
              </w:rPr>
              <w:t>on</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right w:val="single" w:sz="8" w:color="00A1DF"/>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380" w:type="dxa"/>
            <w:vAlign w:val="bottom"/>
            <w:tcBorders>
              <w:left w:val="single" w:sz="8" w:color="00A1DF"/>
              <w:right w:val="single" w:sz="8" w:color="auto"/>
            </w:tcBorders>
          </w:tcPr>
          <w:p>
            <w:pPr>
              <w:spacing w:after="0"/>
              <w:rPr>
                <w:sz w:val="22"/>
                <w:szCs w:val="22"/>
                <w:color w:val="auto"/>
              </w:rPr>
            </w:pPr>
          </w:p>
        </w:tc>
        <w:tc>
          <w:tcPr>
            <w:tcW w:w="2040" w:type="dxa"/>
            <w:vAlign w:val="bottom"/>
            <w:gridSpan w:val="4"/>
          </w:tcPr>
          <w:p>
            <w:pPr>
              <w:ind w:left="120"/>
              <w:spacing w:after="0"/>
              <w:rPr>
                <w:sz w:val="20"/>
                <w:szCs w:val="20"/>
                <w:color w:val="auto"/>
              </w:rPr>
            </w:pPr>
            <w:r>
              <w:rPr>
                <w:rFonts w:ascii="Arial" w:cs="Arial" w:eastAsia="Arial" w:hAnsi="Arial"/>
                <w:sz w:val="20"/>
                <w:szCs w:val="20"/>
                <w:b w:val="1"/>
                <w:bCs w:val="1"/>
                <w:color w:val="auto"/>
              </w:rPr>
              <w:t>December 28, 2020</w:t>
            </w: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Borders>
              <w:right w:val="single" w:sz="8" w:color="00A1DF"/>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380" w:type="dxa"/>
            <w:vAlign w:val="bottom"/>
            <w:tcBorders>
              <w:left w:val="single" w:sz="8" w:color="00A1DF"/>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gridSpan w:val="6"/>
          </w:tcPr>
          <w:p>
            <w:pPr>
              <w:spacing w:after="0"/>
              <w:rPr>
                <w:sz w:val="5"/>
                <w:szCs w:val="5"/>
                <w:color w:val="auto"/>
              </w:rPr>
            </w:pPr>
          </w:p>
        </w:tc>
        <w:tc>
          <w:tcPr>
            <w:tcW w:w="2900" w:type="dxa"/>
            <w:vAlign w:val="bottom"/>
            <w:tcBorders>
              <w:bottom w:val="single" w:sz="8" w:color="auto"/>
            </w:tcBorders>
            <w:gridSpan w:val="7"/>
          </w:tcPr>
          <w:p>
            <w:pPr>
              <w:spacing w:after="0"/>
              <w:rPr>
                <w:sz w:val="5"/>
                <w:szCs w:val="5"/>
                <w:color w:val="auto"/>
              </w:rPr>
            </w:pPr>
          </w:p>
        </w:tc>
        <w:tc>
          <w:tcPr>
            <w:tcW w:w="2620" w:type="dxa"/>
            <w:vAlign w:val="bottom"/>
            <w:tcBorders>
              <w:bottom w:val="single" w:sz="8" w:color="auto"/>
              <w:right w:val="single" w:sz="8" w:color="00A1DF"/>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80" w:type="dxa"/>
            <w:vAlign w:val="bottom"/>
            <w:tcBorders>
              <w:left w:val="single" w:sz="8" w:color="00A1DF"/>
              <w:right w:val="single" w:sz="8" w:color="auto"/>
            </w:tcBorders>
          </w:tcPr>
          <w:p>
            <w:pPr>
              <w:ind w:left="240"/>
              <w:spacing w:after="0" w:line="180" w:lineRule="exact"/>
              <w:rPr>
                <w:sz w:val="20"/>
                <w:szCs w:val="20"/>
                <w:color w:val="auto"/>
              </w:rPr>
            </w:pPr>
            <w:r>
              <w:rPr>
                <w:rFonts w:ascii="Arial" w:cs="Arial" w:eastAsia="Arial" w:hAnsi="Arial"/>
                <w:sz w:val="20"/>
                <w:szCs w:val="20"/>
                <w:b w:val="1"/>
                <w:bCs w:val="1"/>
                <w:color w:val="00A1DF"/>
              </w:rPr>
              <w:t>Where to Send These</w:t>
            </w:r>
          </w:p>
        </w:tc>
        <w:tc>
          <w:tcPr>
            <w:tcW w:w="8560" w:type="dxa"/>
            <w:vAlign w:val="bottom"/>
            <w:tcBorders>
              <w:right w:val="single" w:sz="8" w:color="00A1DF"/>
            </w:tcBorders>
            <w:gridSpan w:val="18"/>
          </w:tcPr>
          <w:p>
            <w:pPr>
              <w:ind w:left="120"/>
              <w:spacing w:after="0" w:line="180" w:lineRule="exact"/>
              <w:rPr>
                <w:sz w:val="20"/>
                <w:szCs w:val="20"/>
                <w:color w:val="auto"/>
              </w:rPr>
            </w:pPr>
            <w:r>
              <w:rPr>
                <w:rFonts w:ascii="Arial" w:cs="Arial" w:eastAsia="Arial" w:hAnsi="Arial"/>
                <w:sz w:val="20"/>
                <w:szCs w:val="20"/>
                <w:color w:val="auto"/>
                <w:w w:val="98"/>
              </w:rPr>
              <w:t>Mail proposals to our Corporate Secretary at Mail Code 482-C24-A68, 300 Renaissance Center,</w:t>
            </w:r>
          </w:p>
        </w:tc>
        <w:tc>
          <w:tcPr>
            <w:tcW w:w="0" w:type="dxa"/>
            <w:vAlign w:val="bottom"/>
          </w:tcPr>
          <w:p>
            <w:pPr>
              <w:spacing w:after="0"/>
              <w:rPr>
                <w:sz w:val="1"/>
                <w:szCs w:val="1"/>
                <w:color w:val="auto"/>
              </w:rPr>
            </w:pPr>
          </w:p>
        </w:tc>
      </w:tr>
      <w:tr>
        <w:trPr>
          <w:trHeight w:val="259"/>
        </w:trPr>
        <w:tc>
          <w:tcPr>
            <w:tcW w:w="2380" w:type="dxa"/>
            <w:vAlign w:val="bottom"/>
            <w:tcBorders>
              <w:left w:val="single" w:sz="8" w:color="00A1DF"/>
              <w:right w:val="single" w:sz="8" w:color="auto"/>
            </w:tcBorders>
          </w:tcPr>
          <w:p>
            <w:pPr>
              <w:ind w:left="240"/>
              <w:spacing w:after="0"/>
              <w:rPr>
                <w:sz w:val="20"/>
                <w:szCs w:val="20"/>
                <w:color w:val="auto"/>
              </w:rPr>
            </w:pPr>
            <w:r>
              <w:rPr>
                <w:rFonts w:ascii="Arial" w:cs="Arial" w:eastAsia="Arial" w:hAnsi="Arial"/>
                <w:sz w:val="20"/>
                <w:szCs w:val="20"/>
                <w:b w:val="1"/>
                <w:bCs w:val="1"/>
                <w:color w:val="00A1DF"/>
              </w:rPr>
              <w:t>Proposals</w:t>
            </w:r>
          </w:p>
        </w:tc>
        <w:tc>
          <w:tcPr>
            <w:tcW w:w="7840" w:type="dxa"/>
            <w:vAlign w:val="bottom"/>
            <w:gridSpan w:val="16"/>
          </w:tcPr>
          <w:p>
            <w:pPr>
              <w:ind w:left="120"/>
              <w:spacing w:after="0"/>
              <w:rPr>
                <w:sz w:val="20"/>
                <w:szCs w:val="20"/>
                <w:color w:val="auto"/>
              </w:rPr>
            </w:pPr>
            <w:r>
              <w:rPr>
                <w:rFonts w:ascii="Arial" w:cs="Arial" w:eastAsia="Arial" w:hAnsi="Arial"/>
                <w:sz w:val="20"/>
                <w:szCs w:val="20"/>
                <w:color w:val="auto"/>
                <w:w w:val="98"/>
              </w:rPr>
              <w:t xml:space="preserve">Detroit, Michigan 48265, or send proposals by e-mail to </w:t>
            </w:r>
            <w:r>
              <w:rPr>
                <w:rFonts w:ascii="Arial" w:cs="Arial" w:eastAsia="Arial" w:hAnsi="Arial"/>
                <w:sz w:val="20"/>
                <w:szCs w:val="20"/>
                <w:i w:val="1"/>
                <w:iCs w:val="1"/>
                <w:color w:val="auto"/>
                <w:w w:val="98"/>
              </w:rPr>
              <w:t>shareholder.relations@gm.com.</w:t>
            </w:r>
          </w:p>
        </w:tc>
        <w:tc>
          <w:tcPr>
            <w:tcW w:w="360" w:type="dxa"/>
            <w:vAlign w:val="bottom"/>
          </w:tcPr>
          <w:p>
            <w:pPr>
              <w:spacing w:after="0"/>
              <w:rPr>
                <w:sz w:val="22"/>
                <w:szCs w:val="22"/>
                <w:color w:val="auto"/>
              </w:rPr>
            </w:pPr>
          </w:p>
        </w:tc>
        <w:tc>
          <w:tcPr>
            <w:tcW w:w="360" w:type="dxa"/>
            <w:vAlign w:val="bottom"/>
            <w:tcBorders>
              <w:right w:val="single" w:sz="8" w:color="00A1DF"/>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380" w:type="dxa"/>
            <w:vAlign w:val="bottom"/>
            <w:tcBorders>
              <w:left w:val="single" w:sz="8" w:color="00A1DF"/>
              <w:bottom w:val="single" w:sz="8" w:color="auto"/>
              <w:right w:val="single" w:sz="8" w:color="auto"/>
            </w:tcBorders>
          </w:tcPr>
          <w:p>
            <w:pPr>
              <w:spacing w:after="0"/>
              <w:rPr>
                <w:sz w:val="5"/>
                <w:szCs w:val="5"/>
                <w:color w:val="auto"/>
              </w:rPr>
            </w:pPr>
          </w:p>
        </w:tc>
        <w:tc>
          <w:tcPr>
            <w:tcW w:w="3040" w:type="dxa"/>
            <w:vAlign w:val="bottom"/>
            <w:tcBorders>
              <w:bottom w:val="single" w:sz="8" w:color="auto"/>
            </w:tcBorders>
            <w:gridSpan w:val="6"/>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00A1DF"/>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380" w:type="dxa"/>
            <w:vAlign w:val="bottom"/>
            <w:tcBorders>
              <w:left w:val="single" w:sz="8" w:color="00A1DF"/>
              <w:right w:val="single" w:sz="8" w:color="auto"/>
            </w:tcBorders>
          </w:tcPr>
          <w:p>
            <w:pPr>
              <w:ind w:left="240"/>
              <w:spacing w:after="0" w:line="204" w:lineRule="exact"/>
              <w:rPr>
                <w:sz w:val="20"/>
                <w:szCs w:val="20"/>
                <w:color w:val="auto"/>
              </w:rPr>
            </w:pPr>
            <w:r>
              <w:rPr>
                <w:rFonts w:ascii="Arial" w:cs="Arial" w:eastAsia="Arial" w:hAnsi="Arial"/>
                <w:sz w:val="20"/>
                <w:szCs w:val="20"/>
                <w:b w:val="1"/>
                <w:bCs w:val="1"/>
                <w:color w:val="00A1DF"/>
              </w:rPr>
              <w:t>What to Include</w:t>
            </w:r>
          </w:p>
        </w:tc>
        <w:tc>
          <w:tcPr>
            <w:tcW w:w="3040" w:type="dxa"/>
            <w:vAlign w:val="bottom"/>
            <w:tcBorders>
              <w:right w:val="single" w:sz="8" w:color="auto"/>
            </w:tcBorders>
            <w:gridSpan w:val="6"/>
          </w:tcPr>
          <w:p>
            <w:pPr>
              <w:ind w:left="120"/>
              <w:spacing w:after="0" w:line="204" w:lineRule="exact"/>
              <w:rPr>
                <w:sz w:val="20"/>
                <w:szCs w:val="20"/>
                <w:color w:val="auto"/>
              </w:rPr>
            </w:pPr>
            <w:r>
              <w:rPr>
                <w:rFonts w:ascii="Arial" w:cs="Arial" w:eastAsia="Arial" w:hAnsi="Arial"/>
                <w:sz w:val="20"/>
                <w:szCs w:val="20"/>
                <w:color w:val="auto"/>
              </w:rPr>
              <w:t>Proposals must conform to and</w:t>
            </w:r>
          </w:p>
        </w:tc>
        <w:tc>
          <w:tcPr>
            <w:tcW w:w="5520" w:type="dxa"/>
            <w:vAlign w:val="bottom"/>
            <w:tcBorders>
              <w:right w:val="single" w:sz="8" w:color="00A1DF"/>
            </w:tcBorders>
            <w:gridSpan w:val="12"/>
            <w:vMerge w:val="restart"/>
          </w:tcPr>
          <w:p>
            <w:pPr>
              <w:ind w:left="120"/>
              <w:spacing w:after="0"/>
              <w:rPr>
                <w:sz w:val="20"/>
                <w:szCs w:val="20"/>
                <w:color w:val="auto"/>
              </w:rPr>
            </w:pPr>
            <w:r>
              <w:rPr>
                <w:rFonts w:ascii="Arial" w:cs="Arial" w:eastAsia="Arial" w:hAnsi="Arial"/>
                <w:sz w:val="20"/>
                <w:szCs w:val="20"/>
                <w:color w:val="auto"/>
              </w:rPr>
              <w:t>Proposals must include information required by our Bylaws,</w:t>
            </w:r>
          </w:p>
        </w:tc>
        <w:tc>
          <w:tcPr>
            <w:tcW w:w="0" w:type="dxa"/>
            <w:vAlign w:val="bottom"/>
          </w:tcPr>
          <w:p>
            <w:pPr>
              <w:spacing w:after="0"/>
              <w:rPr>
                <w:sz w:val="1"/>
                <w:szCs w:val="1"/>
                <w:color w:val="auto"/>
              </w:rPr>
            </w:pPr>
          </w:p>
        </w:tc>
      </w:tr>
      <w:tr>
        <w:trPr>
          <w:trHeight w:val="67"/>
        </w:trPr>
        <w:tc>
          <w:tcPr>
            <w:tcW w:w="2380" w:type="dxa"/>
            <w:vAlign w:val="bottom"/>
            <w:tcBorders>
              <w:left w:val="single" w:sz="8" w:color="00A1DF"/>
              <w:right w:val="single" w:sz="8" w:color="auto"/>
            </w:tcBorders>
          </w:tcPr>
          <w:p>
            <w:pPr>
              <w:spacing w:after="0"/>
              <w:rPr>
                <w:sz w:val="5"/>
                <w:szCs w:val="5"/>
                <w:color w:val="auto"/>
              </w:rPr>
            </w:pPr>
          </w:p>
        </w:tc>
        <w:tc>
          <w:tcPr>
            <w:tcW w:w="820" w:type="dxa"/>
            <w:vAlign w:val="bottom"/>
            <w:vMerge w:val="restart"/>
          </w:tcPr>
          <w:p>
            <w:pPr>
              <w:ind w:left="120"/>
              <w:spacing w:after="0" w:line="214" w:lineRule="exact"/>
              <w:rPr>
                <w:sz w:val="20"/>
                <w:szCs w:val="20"/>
                <w:color w:val="auto"/>
              </w:rPr>
            </w:pPr>
            <w:r>
              <w:rPr>
                <w:rFonts w:ascii="Arial" w:cs="Arial" w:eastAsia="Arial" w:hAnsi="Arial"/>
                <w:sz w:val="20"/>
                <w:szCs w:val="20"/>
                <w:color w:val="auto"/>
              </w:rPr>
              <w:t>include</w:t>
            </w:r>
          </w:p>
        </w:tc>
        <w:tc>
          <w:tcPr>
            <w:tcW w:w="820" w:type="dxa"/>
            <w:vAlign w:val="bottom"/>
            <w:gridSpan w:val="2"/>
            <w:vMerge w:val="restart"/>
          </w:tcPr>
          <w:p>
            <w:pPr>
              <w:ind w:left="340"/>
              <w:spacing w:after="0" w:line="214" w:lineRule="exact"/>
              <w:rPr>
                <w:sz w:val="20"/>
                <w:szCs w:val="20"/>
                <w:color w:val="auto"/>
              </w:rPr>
            </w:pPr>
            <w:r>
              <w:rPr>
                <w:rFonts w:ascii="Arial" w:cs="Arial" w:eastAsia="Arial" w:hAnsi="Arial"/>
                <w:sz w:val="20"/>
                <w:szCs w:val="20"/>
                <w:color w:val="auto"/>
              </w:rPr>
              <w:t>the</w:t>
            </w:r>
          </w:p>
        </w:tc>
        <w:tc>
          <w:tcPr>
            <w:tcW w:w="1400" w:type="dxa"/>
            <w:vAlign w:val="bottom"/>
            <w:tcBorders>
              <w:right w:val="single" w:sz="8" w:color="auto"/>
            </w:tcBorders>
            <w:gridSpan w:val="3"/>
            <w:vMerge w:val="restart"/>
          </w:tcPr>
          <w:p>
            <w:pPr>
              <w:jc w:val="right"/>
              <w:ind w:right="102"/>
              <w:spacing w:after="0" w:line="214" w:lineRule="exact"/>
              <w:rPr>
                <w:sz w:val="20"/>
                <w:szCs w:val="20"/>
                <w:color w:val="auto"/>
              </w:rPr>
            </w:pPr>
            <w:r>
              <w:rPr>
                <w:rFonts w:ascii="Arial" w:cs="Arial" w:eastAsia="Arial" w:hAnsi="Arial"/>
                <w:sz w:val="20"/>
                <w:szCs w:val="20"/>
                <w:color w:val="auto"/>
              </w:rPr>
              <w:t>information</w:t>
            </w:r>
          </w:p>
        </w:tc>
        <w:tc>
          <w:tcPr>
            <w:tcW w:w="5520" w:type="dxa"/>
            <w:vAlign w:val="bottom"/>
            <w:tcBorders>
              <w:right w:val="single" w:sz="8" w:color="00A1DF"/>
            </w:tcBorders>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380" w:type="dxa"/>
            <w:vAlign w:val="bottom"/>
            <w:tcBorders>
              <w:left w:val="single" w:sz="8" w:color="00A1DF"/>
              <w:right w:val="single" w:sz="8" w:color="auto"/>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0" w:type="dxa"/>
            <w:vAlign w:val="bottom"/>
            <w:tcBorders>
              <w:right w:val="single" w:sz="8" w:color="auto"/>
            </w:tcBorders>
            <w:gridSpan w:val="3"/>
            <w:vMerge w:val="continue"/>
          </w:tcPr>
          <w:p>
            <w:pPr>
              <w:spacing w:after="0"/>
              <w:rPr>
                <w:sz w:val="12"/>
                <w:szCs w:val="12"/>
                <w:color w:val="auto"/>
              </w:rPr>
            </w:pPr>
          </w:p>
        </w:tc>
        <w:tc>
          <w:tcPr>
            <w:tcW w:w="3900" w:type="dxa"/>
            <w:vAlign w:val="bottom"/>
            <w:gridSpan w:val="8"/>
            <w:vMerge w:val="restart"/>
          </w:tcPr>
          <w:p>
            <w:pPr>
              <w:ind w:left="120"/>
              <w:spacing w:after="0" w:line="194" w:lineRule="exact"/>
              <w:rPr>
                <w:sz w:val="20"/>
                <w:szCs w:val="20"/>
                <w:color w:val="auto"/>
              </w:rPr>
            </w:pPr>
            <w:r>
              <w:rPr>
                <w:rFonts w:ascii="Arial" w:cs="Arial" w:eastAsia="Arial" w:hAnsi="Arial"/>
                <w:sz w:val="20"/>
                <w:szCs w:val="20"/>
                <w:color w:val="auto"/>
              </w:rPr>
              <w:t>which are available on our website at</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right w:val="single" w:sz="8" w:color="00A1DF"/>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380" w:type="dxa"/>
            <w:vAlign w:val="bottom"/>
            <w:tcBorders>
              <w:left w:val="single" w:sz="8" w:color="00A1DF"/>
              <w:right w:val="single" w:sz="8" w:color="auto"/>
            </w:tcBorders>
          </w:tcPr>
          <w:p>
            <w:pPr>
              <w:spacing w:after="0"/>
              <w:rPr>
                <w:sz w:val="4"/>
                <w:szCs w:val="4"/>
                <w:color w:val="auto"/>
              </w:rPr>
            </w:pPr>
          </w:p>
        </w:tc>
        <w:tc>
          <w:tcPr>
            <w:tcW w:w="3040" w:type="dxa"/>
            <w:vAlign w:val="bottom"/>
            <w:tcBorders>
              <w:right w:val="single" w:sz="8" w:color="auto"/>
            </w:tcBorders>
            <w:gridSpan w:val="6"/>
            <w:vMerge w:val="restart"/>
          </w:tcPr>
          <w:p>
            <w:pPr>
              <w:ind w:left="120"/>
              <w:spacing w:after="0"/>
              <w:rPr>
                <w:sz w:val="20"/>
                <w:szCs w:val="20"/>
                <w:color w:val="auto"/>
              </w:rPr>
            </w:pPr>
            <w:r>
              <w:rPr>
                <w:rFonts w:ascii="Arial" w:cs="Arial" w:eastAsia="Arial" w:hAnsi="Arial"/>
                <w:sz w:val="20"/>
                <w:szCs w:val="20"/>
                <w:color w:val="auto"/>
              </w:rPr>
              <w:t>required by SEC Rule 14a-8.</w:t>
            </w:r>
          </w:p>
        </w:tc>
        <w:tc>
          <w:tcPr>
            <w:tcW w:w="3900" w:type="dxa"/>
            <w:vAlign w:val="bottom"/>
            <w:gridSpan w:val="8"/>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Borders>
              <w:right w:val="single" w:sz="8" w:color="00A1DF"/>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380" w:type="dxa"/>
            <w:vAlign w:val="bottom"/>
            <w:tcBorders>
              <w:left w:val="single" w:sz="8" w:color="00A1DF"/>
              <w:bottom w:val="single" w:sz="8" w:color="00A1DF"/>
              <w:right w:val="single" w:sz="8" w:color="auto"/>
            </w:tcBorders>
          </w:tcPr>
          <w:p>
            <w:pPr>
              <w:spacing w:after="0"/>
              <w:rPr>
                <w:sz w:val="21"/>
                <w:szCs w:val="21"/>
                <w:color w:val="auto"/>
              </w:rPr>
            </w:pPr>
          </w:p>
        </w:tc>
        <w:tc>
          <w:tcPr>
            <w:tcW w:w="3040" w:type="dxa"/>
            <w:vAlign w:val="bottom"/>
            <w:tcBorders>
              <w:bottom w:val="single" w:sz="8" w:color="00A1DF"/>
              <w:right w:val="single" w:sz="8" w:color="auto"/>
            </w:tcBorders>
            <w:gridSpan w:val="6"/>
            <w:vMerge w:val="continue"/>
          </w:tcPr>
          <w:p>
            <w:pPr>
              <w:spacing w:after="0"/>
              <w:rPr>
                <w:sz w:val="21"/>
                <w:szCs w:val="21"/>
                <w:color w:val="auto"/>
              </w:rPr>
            </w:pPr>
          </w:p>
        </w:tc>
        <w:tc>
          <w:tcPr>
            <w:tcW w:w="2900" w:type="dxa"/>
            <w:vAlign w:val="bottom"/>
            <w:tcBorders>
              <w:bottom w:val="single" w:sz="8" w:color="00A1DF"/>
            </w:tcBorders>
            <w:gridSpan w:val="7"/>
          </w:tcPr>
          <w:p>
            <w:pPr>
              <w:ind w:left="120"/>
              <w:spacing w:after="0"/>
              <w:rPr>
                <w:sz w:val="20"/>
                <w:szCs w:val="20"/>
                <w:color w:val="auto"/>
              </w:rPr>
            </w:pPr>
            <w:r>
              <w:rPr>
                <w:rFonts w:ascii="Arial" w:cs="Arial" w:eastAsia="Arial" w:hAnsi="Arial"/>
                <w:sz w:val="20"/>
                <w:szCs w:val="20"/>
                <w:i w:val="1"/>
                <w:iCs w:val="1"/>
                <w:color w:val="00A1DF"/>
              </w:rPr>
              <w:t>investor.gm.com/resources</w:t>
            </w:r>
            <w:r>
              <w:rPr>
                <w:rFonts w:ascii="Arial" w:cs="Arial" w:eastAsia="Arial" w:hAnsi="Arial"/>
                <w:sz w:val="20"/>
                <w:szCs w:val="20"/>
                <w:color w:val="000000"/>
              </w:rPr>
              <w:t>.</w:t>
            </w:r>
          </w:p>
        </w:tc>
        <w:tc>
          <w:tcPr>
            <w:tcW w:w="1000" w:type="dxa"/>
            <w:vAlign w:val="bottom"/>
            <w:tcBorders>
              <w:bottom w:val="single" w:sz="8" w:color="00A1DF"/>
            </w:tcBorders>
          </w:tcPr>
          <w:p>
            <w:pPr>
              <w:spacing w:after="0"/>
              <w:rPr>
                <w:sz w:val="21"/>
                <w:szCs w:val="21"/>
                <w:color w:val="auto"/>
              </w:rPr>
            </w:pPr>
          </w:p>
        </w:tc>
        <w:tc>
          <w:tcPr>
            <w:tcW w:w="340" w:type="dxa"/>
            <w:vAlign w:val="bottom"/>
            <w:tcBorders>
              <w:bottom w:val="single" w:sz="8" w:color="00A1DF"/>
            </w:tcBorders>
          </w:tcPr>
          <w:p>
            <w:pPr>
              <w:spacing w:after="0"/>
              <w:rPr>
                <w:sz w:val="21"/>
                <w:szCs w:val="21"/>
                <w:color w:val="auto"/>
              </w:rPr>
            </w:pPr>
          </w:p>
        </w:tc>
        <w:tc>
          <w:tcPr>
            <w:tcW w:w="560" w:type="dxa"/>
            <w:vAlign w:val="bottom"/>
            <w:tcBorders>
              <w:bottom w:val="single" w:sz="8" w:color="00A1DF"/>
            </w:tcBorders>
          </w:tcPr>
          <w:p>
            <w:pPr>
              <w:spacing w:after="0"/>
              <w:rPr>
                <w:sz w:val="21"/>
                <w:szCs w:val="21"/>
                <w:color w:val="auto"/>
              </w:rPr>
            </w:pPr>
          </w:p>
        </w:tc>
        <w:tc>
          <w:tcPr>
            <w:tcW w:w="360" w:type="dxa"/>
            <w:vAlign w:val="bottom"/>
            <w:tcBorders>
              <w:bottom w:val="single" w:sz="8" w:color="00A1DF"/>
            </w:tcBorders>
          </w:tcPr>
          <w:p>
            <w:pPr>
              <w:spacing w:after="0"/>
              <w:rPr>
                <w:sz w:val="21"/>
                <w:szCs w:val="21"/>
                <w:color w:val="auto"/>
              </w:rPr>
            </w:pPr>
          </w:p>
        </w:tc>
        <w:tc>
          <w:tcPr>
            <w:tcW w:w="360" w:type="dxa"/>
            <w:vAlign w:val="bottom"/>
            <w:tcBorders>
              <w:bottom w:val="single" w:sz="8" w:color="00A1DF"/>
              <w:right w:val="single" w:sz="8" w:color="00A1DF"/>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102 </w:t>
      </w:r>
      <w:r>
        <w:rPr>
          <w:sz w:val="1"/>
          <w:szCs w:val="1"/>
          <w:color w:val="auto"/>
        </w:rPr>
        <w:drawing>
          <wp:inline distT="0" distB="0" distL="0" distR="0">
            <wp:extent cx="6793865" cy="10160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0033A0"/>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ind w:left="700" w:hanging="533"/>
        <w:spacing w:after="0"/>
        <w:tabs>
          <w:tab w:leader="none" w:pos="700" w:val="left"/>
        </w:tabs>
        <w:numPr>
          <w:ilvl w:val="0"/>
          <w:numId w:val="164"/>
        </w:numPr>
        <w:rPr>
          <w:rFonts w:ascii="Arial" w:cs="Arial" w:eastAsia="Arial" w:hAnsi="Arial"/>
          <w:sz w:val="25"/>
          <w:szCs w:val="25"/>
          <w:color w:val="0033A0"/>
        </w:rPr>
      </w:pPr>
      <w:r>
        <w:rPr>
          <w:rFonts w:ascii="Arial" w:cs="Arial" w:eastAsia="Arial" w:hAnsi="Arial"/>
          <w:sz w:val="25"/>
          <w:szCs w:val="25"/>
          <w:color w:val="auto"/>
        </w:rPr>
        <w:t>Annual Report and Other Investor Materials</w:t>
      </w:r>
    </w:p>
    <w:p>
      <w:pPr>
        <w:spacing w:after="0" w:line="156" w:lineRule="exact"/>
        <w:rPr>
          <w:sz w:val="20"/>
          <w:szCs w:val="20"/>
          <w:color w:val="auto"/>
        </w:rPr>
      </w:pPr>
    </w:p>
    <w:p>
      <w:pPr>
        <w:jc w:val="both"/>
        <w:ind w:left="160" w:right="100"/>
        <w:spacing w:after="0" w:line="234" w:lineRule="auto"/>
        <w:rPr>
          <w:sz w:val="20"/>
          <w:szCs w:val="20"/>
          <w:color w:val="auto"/>
        </w:rPr>
      </w:pPr>
      <w:r>
        <w:rPr>
          <w:rFonts w:ascii="Arial" w:cs="Arial" w:eastAsia="Arial" w:hAnsi="Arial"/>
          <w:sz w:val="20"/>
          <w:szCs w:val="20"/>
          <w:color w:val="auto"/>
        </w:rPr>
        <w:t xml:space="preserve">You may download a copy of our 2019 Annual Report and Proxy Statement at </w:t>
      </w:r>
      <w:r>
        <w:rPr>
          <w:rFonts w:ascii="Arial" w:cs="Arial" w:eastAsia="Arial" w:hAnsi="Arial"/>
          <w:sz w:val="20"/>
          <w:szCs w:val="20"/>
          <w:i w:val="1"/>
          <w:iCs w:val="1"/>
          <w:color w:val="00A1DF"/>
        </w:rPr>
        <w:t>investor.gm.com/shareholder</w:t>
      </w:r>
      <w:r>
        <w:rPr>
          <w:rFonts w:ascii="Arial" w:cs="Arial" w:eastAsia="Arial" w:hAnsi="Arial"/>
          <w:sz w:val="20"/>
          <w:szCs w:val="20"/>
          <w:color w:val="auto"/>
        </w:rPr>
        <w:t xml:space="preserve">. Our other SEC filings are available at </w:t>
      </w:r>
      <w:r>
        <w:rPr>
          <w:rFonts w:ascii="Arial" w:cs="Arial" w:eastAsia="Arial" w:hAnsi="Arial"/>
          <w:sz w:val="20"/>
          <w:szCs w:val="20"/>
          <w:i w:val="1"/>
          <w:iCs w:val="1"/>
          <w:color w:val="00A1DF"/>
        </w:rPr>
        <w:t>investor.gm.com/sec-filings</w:t>
      </w:r>
      <w:r>
        <w:rPr>
          <w:rFonts w:ascii="Arial" w:cs="Arial" w:eastAsia="Arial" w:hAnsi="Arial"/>
          <w:sz w:val="20"/>
          <w:szCs w:val="20"/>
          <w:color w:val="auto"/>
        </w:rPr>
        <w:t xml:space="preserve">. Alternatively, you may request a printed copy of these publications by writing to Shareholder Relations at General Motors Company, Mail Code: 482-C23-A68, 300 Renaissance Center, Detroit, Michigan 48265 or by e-mail to </w:t>
      </w:r>
      <w:r>
        <w:rPr>
          <w:rFonts w:ascii="Arial" w:cs="Arial" w:eastAsia="Arial" w:hAnsi="Arial"/>
          <w:sz w:val="20"/>
          <w:szCs w:val="20"/>
          <w:i w:val="1"/>
          <w:iCs w:val="1"/>
          <w:color w:val="auto"/>
        </w:rPr>
        <w:t>shareholder.relations@gm.com.</w:t>
      </w:r>
    </w:p>
    <w:p>
      <w:pPr>
        <w:spacing w:after="0" w:line="345" w:lineRule="exact"/>
        <w:rPr>
          <w:sz w:val="20"/>
          <w:szCs w:val="20"/>
          <w:color w:val="auto"/>
        </w:rPr>
      </w:pPr>
    </w:p>
    <w:p>
      <w:pPr>
        <w:ind w:left="700" w:hanging="533"/>
        <w:spacing w:after="0"/>
        <w:tabs>
          <w:tab w:leader="none" w:pos="700" w:val="left"/>
        </w:tabs>
        <w:numPr>
          <w:ilvl w:val="0"/>
          <w:numId w:val="165"/>
        </w:numPr>
        <w:rPr>
          <w:rFonts w:ascii="Arial" w:cs="Arial" w:eastAsia="Arial" w:hAnsi="Arial"/>
          <w:sz w:val="25"/>
          <w:szCs w:val="25"/>
          <w:color w:val="0033A0"/>
        </w:rPr>
      </w:pPr>
      <w:r>
        <w:rPr>
          <w:rFonts w:ascii="Arial" w:cs="Arial" w:eastAsia="Arial" w:hAnsi="Arial"/>
          <w:sz w:val="25"/>
          <w:szCs w:val="25"/>
          <w:color w:val="auto"/>
        </w:rPr>
        <w:t>Cost of Proxy Solicitation</w:t>
      </w:r>
    </w:p>
    <w:p>
      <w:pPr>
        <w:spacing w:after="0" w:line="189" w:lineRule="exact"/>
        <w:rPr>
          <w:sz w:val="20"/>
          <w:szCs w:val="20"/>
          <w:color w:val="auto"/>
        </w:rPr>
      </w:pPr>
    </w:p>
    <w:p>
      <w:pPr>
        <w:jc w:val="both"/>
        <w:ind w:left="160" w:right="100"/>
        <w:spacing w:after="0" w:line="226" w:lineRule="auto"/>
        <w:rPr>
          <w:sz w:val="20"/>
          <w:szCs w:val="20"/>
          <w:color w:val="auto"/>
        </w:rPr>
      </w:pPr>
      <w:r>
        <w:rPr>
          <w:rFonts w:ascii="Arial" w:cs="Arial" w:eastAsia="Arial" w:hAnsi="Arial"/>
          <w:sz w:val="20"/>
          <w:szCs w:val="20"/>
          <w:color w:val="auto"/>
        </w:rPr>
        <w:t>We will pay our cost for soliciting proxies for the Annual Meeting. The Company will distribute proxy materials and follow-up reminders, if any, by mail and electronic means. We have engaged Alliance Advisors, LLC (“Alliance”), a professional proxy solicitation firm, located at 200 Broadacres Drive, Bloomfield, New Jersey 07003 to assist with the solicitation of proxies and to provide related advice and informational support for a service fee, plus customary disbursements. We expect to pay Alliance an aggregate fee, including reasonable out-of-pocket expenses, of up to $20,000, depending on the level of services actually provided. GM directors, officers, and employees may also solicit proxies by mail, telephone, or personal visits. They will not receive any additional compensation for their services.</w:t>
      </w:r>
    </w:p>
    <w:p>
      <w:pPr>
        <w:spacing w:after="0" w:line="156" w:lineRule="exact"/>
        <w:rPr>
          <w:sz w:val="20"/>
          <w:szCs w:val="20"/>
          <w:color w:val="auto"/>
        </w:rPr>
      </w:pPr>
    </w:p>
    <w:p>
      <w:pPr>
        <w:jc w:val="both"/>
        <w:ind w:left="160" w:right="100"/>
        <w:spacing w:after="0" w:line="228" w:lineRule="auto"/>
        <w:rPr>
          <w:sz w:val="20"/>
          <w:szCs w:val="20"/>
          <w:color w:val="auto"/>
        </w:rPr>
      </w:pPr>
      <w:r>
        <w:rPr>
          <w:rFonts w:ascii="Arial" w:cs="Arial" w:eastAsia="Arial" w:hAnsi="Arial"/>
          <w:sz w:val="20"/>
          <w:szCs w:val="20"/>
          <w:color w:val="auto"/>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793865" cy="1016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103</w:t>
      </w:r>
    </w:p>
    <w:p>
      <w:pPr>
        <w:sectPr>
          <w:pgSz w:w="11900" w:h="16838" w:orient="portrait"/>
          <w:cols w:equalWidth="0" w:num="1">
            <w:col w:w="11180"/>
          </w:cols>
          <w:pgMar w:left="320" w:top="456" w:right="3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12"/>
          <w:szCs w:val="12"/>
          <w:color w:val="0033A0"/>
        </w:rPr>
        <w:t xml:space="preserve">104 </w:t>
      </w:r>
      <w:r>
        <w:rPr>
          <w:sz w:val="1"/>
          <w:szCs w:val="1"/>
          <w:color w:val="auto"/>
        </w:rPr>
        <w:drawing>
          <wp:inline distT="0" distB="0" distL="0" distR="0">
            <wp:extent cx="6793865" cy="10160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68" w:lineRule="exact"/>
        <w:rPr>
          <w:sz w:val="20"/>
          <w:szCs w:val="20"/>
          <w:color w:val="auto"/>
        </w:rPr>
      </w:pPr>
    </w:p>
    <w:p>
      <w:pPr>
        <w:ind w:left="160"/>
        <w:spacing w:after="0"/>
        <w:rPr>
          <w:sz w:val="20"/>
          <w:szCs w:val="20"/>
          <w:color w:val="auto"/>
        </w:rPr>
      </w:pPr>
      <w:r>
        <w:rPr>
          <w:rFonts w:ascii="Arial" w:cs="Arial" w:eastAsia="Arial" w:hAnsi="Arial"/>
          <w:sz w:val="37"/>
          <w:szCs w:val="37"/>
          <w:b w:val="1"/>
          <w:bCs w:val="1"/>
          <w:color w:val="00A1DF"/>
        </w:rPr>
        <w:t xml:space="preserve">APPENDIX A: </w:t>
      </w:r>
      <w:r>
        <w:rPr>
          <w:rFonts w:ascii="Arial" w:cs="Arial" w:eastAsia="Arial" w:hAnsi="Arial"/>
          <w:sz w:val="37"/>
          <w:szCs w:val="37"/>
          <w:color w:val="0033A0"/>
        </w:rPr>
        <w:t>NON-GAAP FINANCIAL MEASURES</w:t>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Non-GAAP Reconciliations</w:t>
      </w:r>
    </w:p>
    <w:p>
      <w:pPr>
        <w:sectPr>
          <w:pgSz w:w="11900" w:h="16838" w:orient="portrait"/>
          <w:cols w:equalWidth="0" w:num="1">
            <w:col w:w="11180"/>
          </w:cols>
          <w:pgMar w:left="320" w:top="456" w:right="399" w:bottom="1440" w:gutter="0" w:footer="0" w:header="0"/>
        </w:sectPr>
      </w:pPr>
    </w:p>
    <w:p>
      <w:pPr>
        <w:spacing w:after="0" w:line="390" w:lineRule="exact"/>
        <w:rPr>
          <w:sz w:val="20"/>
          <w:szCs w:val="20"/>
          <w:color w:val="auto"/>
        </w:rPr>
      </w:pPr>
    </w:p>
    <w:p>
      <w:pPr>
        <w:jc w:val="both"/>
        <w:ind w:left="160"/>
        <w:spacing w:after="0" w:line="227" w:lineRule="auto"/>
        <w:rPr>
          <w:sz w:val="20"/>
          <w:szCs w:val="20"/>
          <w:color w:val="auto"/>
        </w:rPr>
      </w:pPr>
      <w:r>
        <w:rPr>
          <w:rFonts w:ascii="Arial" w:cs="Arial" w:eastAsia="Arial" w:hAnsi="Arial"/>
          <w:sz w:val="20"/>
          <w:szCs w:val="20"/>
          <w:color w:val="auto"/>
        </w:rPr>
        <w:t>Our Company reports its financial results in accordance with generally accepted accounting principles in the United States (“GAAP”). However, management believes that certain non-GAAP financial measures provide users with additional meaningful financial information.</w:t>
      </w:r>
    </w:p>
    <w:p>
      <w:pPr>
        <w:spacing w:after="0" w:line="116" w:lineRule="exact"/>
        <w:rPr>
          <w:sz w:val="20"/>
          <w:szCs w:val="20"/>
          <w:color w:val="auto"/>
        </w:rPr>
      </w:pPr>
    </w:p>
    <w:p>
      <w:pPr>
        <w:jc w:val="both"/>
        <w:ind w:left="160"/>
        <w:spacing w:after="0" w:line="235" w:lineRule="auto"/>
        <w:rPr>
          <w:sz w:val="20"/>
          <w:szCs w:val="20"/>
          <w:color w:val="auto"/>
        </w:rPr>
      </w:pPr>
      <w:r>
        <w:rPr>
          <w:rFonts w:ascii="Arial" w:cs="Arial" w:eastAsia="Arial" w:hAnsi="Arial"/>
          <w:sz w:val="19"/>
          <w:szCs w:val="19"/>
          <w:color w:val="auto"/>
        </w:rPr>
        <w:t>Our non-GAAP measures presented in this Proxy Statement include: (i) earnings before interest and taxes (“EBIT”)– adjusted, presented net of noncontrolling interests,</w:t>
      </w:r>
    </w:p>
    <w:p>
      <w:pPr>
        <w:ind w:left="560" w:hanging="393"/>
        <w:spacing w:after="0" w:line="223" w:lineRule="auto"/>
        <w:tabs>
          <w:tab w:leader="none" w:pos="56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earnings  per  share  (“EPS”)–diluted–adjusted,  and</w:t>
      </w:r>
    </w:p>
    <w:p>
      <w:pPr>
        <w:jc w:val="both"/>
        <w:ind w:left="160" w:firstLine="7"/>
        <w:spacing w:after="0" w:line="230" w:lineRule="auto"/>
        <w:tabs>
          <w:tab w:leader="none" w:pos="47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ROIC-adjusted. These measures relate to our continuing operations and not our discontinued operations. Our calculation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100"/>
        <w:spacing w:after="0" w:line="225" w:lineRule="auto"/>
        <w:rPr>
          <w:sz w:val="20"/>
          <w:szCs w:val="20"/>
          <w:color w:val="auto"/>
        </w:rPr>
      </w:pPr>
      <w:r>
        <w:rPr>
          <w:rFonts w:ascii="Arial" w:cs="Arial" w:eastAsia="Arial" w:hAnsi="Arial"/>
          <w:sz w:val="20"/>
          <w:szCs w:val="20"/>
          <w:color w:val="auto"/>
        </w:rPr>
        <w:t>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2019, and our subsequent filings with the SEC for additional information about the non-GAAP measures presented herein, including a description of the use of such measures. The numbers in the tables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321310</wp:posOffset>
            </wp:positionV>
            <wp:extent cx="69297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5400" w:space="340"/>
            <w:col w:w="5440"/>
          </w:cols>
          <w:pgMar w:left="320" w:top="456" w:right="399" w:bottom="1440" w:gutter="0" w:footer="0" w:header="0"/>
          <w:type w:val="continuous"/>
        </w:sectPr>
      </w:pP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6780" w:type="dxa"/>
            <w:vAlign w:val="bottom"/>
            <w:tcBorders>
              <w:bottom w:val="single" w:sz="8" w:color="00A1DF"/>
            </w:tcBorders>
          </w:tcPr>
          <w:p>
            <w:pPr>
              <w:spacing w:after="0"/>
              <w:rPr>
                <w:sz w:val="20"/>
                <w:szCs w:val="20"/>
                <w:color w:val="auto"/>
              </w:rPr>
            </w:pPr>
            <w:r>
              <w:rPr>
                <w:rFonts w:ascii="Arial" w:cs="Arial" w:eastAsia="Arial" w:hAnsi="Arial"/>
                <w:sz w:val="20"/>
                <w:szCs w:val="20"/>
                <w:b w:val="1"/>
                <w:bCs w:val="1"/>
                <w:color w:val="00A1DF"/>
              </w:rPr>
              <w:t>($B)</w:t>
            </w:r>
          </w:p>
        </w:tc>
        <w:tc>
          <w:tcPr>
            <w:tcW w:w="2340" w:type="dxa"/>
            <w:vAlign w:val="bottom"/>
            <w:tcBorders>
              <w:bottom w:val="single" w:sz="8" w:color="00A1DF"/>
            </w:tcBorders>
          </w:tcPr>
          <w:p>
            <w:pPr>
              <w:spacing w:after="0"/>
              <w:rPr>
                <w:sz w:val="22"/>
                <w:szCs w:val="22"/>
                <w:color w:val="auto"/>
              </w:rPr>
            </w:pPr>
          </w:p>
        </w:tc>
        <w:tc>
          <w:tcPr>
            <w:tcW w:w="800" w:type="dxa"/>
            <w:vAlign w:val="bottom"/>
            <w:tcBorders>
              <w:bottom w:val="single" w:sz="8" w:color="00A1DF"/>
            </w:tcBorders>
          </w:tcPr>
          <w:p>
            <w:pPr>
              <w:jc w:val="right"/>
              <w:ind w:right="202"/>
              <w:spacing w:after="0"/>
              <w:rPr>
                <w:sz w:val="20"/>
                <w:szCs w:val="20"/>
                <w:color w:val="auto"/>
              </w:rPr>
            </w:pPr>
            <w:r>
              <w:rPr>
                <w:rFonts w:ascii="Arial" w:cs="Arial" w:eastAsia="Arial" w:hAnsi="Arial"/>
                <w:sz w:val="20"/>
                <w:szCs w:val="20"/>
                <w:b w:val="1"/>
                <w:bCs w:val="1"/>
                <w:color w:val="00A1DF"/>
              </w:rPr>
              <w:t>2019</w:t>
            </w:r>
          </w:p>
        </w:tc>
        <w:tc>
          <w:tcPr>
            <w:tcW w:w="260" w:type="dxa"/>
            <w:vAlign w:val="bottom"/>
            <w:tcBorders>
              <w:bottom w:val="single" w:sz="8" w:color="00A1DF"/>
            </w:tcBorders>
          </w:tcPr>
          <w:p>
            <w:pPr>
              <w:spacing w:after="0"/>
              <w:rPr>
                <w:sz w:val="22"/>
                <w:szCs w:val="22"/>
                <w:color w:val="auto"/>
              </w:rPr>
            </w:pPr>
          </w:p>
        </w:tc>
        <w:tc>
          <w:tcPr>
            <w:tcW w:w="740" w:type="dxa"/>
            <w:vAlign w:val="bottom"/>
            <w:tcBorders>
              <w:bottom w:val="single" w:sz="8" w:color="00A1DF"/>
            </w:tcBorders>
          </w:tcPr>
          <w:p>
            <w:pPr>
              <w:jc w:val="right"/>
              <w:ind w:right="142"/>
              <w:spacing w:after="0"/>
              <w:rPr>
                <w:sz w:val="20"/>
                <w:szCs w:val="20"/>
                <w:color w:val="auto"/>
              </w:rPr>
            </w:pPr>
            <w:r>
              <w:rPr>
                <w:rFonts w:ascii="Arial" w:cs="Arial" w:eastAsia="Arial" w:hAnsi="Arial"/>
                <w:sz w:val="20"/>
                <w:szCs w:val="20"/>
                <w:b w:val="1"/>
                <w:bCs w:val="1"/>
                <w:color w:val="00A1DF"/>
              </w:rPr>
              <w:t>2018</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Net Income Attributable to Stockholders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rPr>
              <w:t>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8.0</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Loss from Discontinued Operations, Net of Tax</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0.1</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Income tax expense</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rPr>
              <w:t>0.8</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0.5</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Automotive interest expense</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rPr>
              <w:t>0.8</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0.7</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Automotive interest income</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(0.4)</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(0.3)</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Add Back Special Items:</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4"/>
        </w:trPr>
        <w:tc>
          <w:tcPr>
            <w:tcW w:w="678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Transformation activities</w:t>
            </w:r>
            <w:r>
              <w:rPr>
                <w:rFonts w:ascii="Arial" w:cs="Arial" w:eastAsia="Arial" w:hAnsi="Arial"/>
                <w:sz w:val="27"/>
                <w:szCs w:val="27"/>
                <w:color w:val="auto"/>
                <w:vertAlign w:val="superscript"/>
              </w:rPr>
              <w:t>(1)</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1.7</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1.3</w:t>
            </w:r>
          </w:p>
        </w:tc>
      </w:tr>
      <w:tr>
        <w:trPr>
          <w:trHeight w:val="234"/>
        </w:trPr>
        <w:tc>
          <w:tcPr>
            <w:tcW w:w="678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GM Brazil indirect tax recoveries</w:t>
            </w:r>
            <w:r>
              <w:rPr>
                <w:rFonts w:ascii="Arial" w:cs="Arial" w:eastAsia="Arial" w:hAnsi="Arial"/>
                <w:sz w:val="27"/>
                <w:szCs w:val="27"/>
                <w:color w:val="auto"/>
                <w:vertAlign w:val="superscript"/>
              </w:rPr>
              <w:t>(2)</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(1.4)</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r>
      <w:tr>
        <w:trPr>
          <w:trHeight w:val="234"/>
        </w:trPr>
        <w:tc>
          <w:tcPr>
            <w:tcW w:w="678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FAW-GM divestiture</w:t>
            </w:r>
            <w:r>
              <w:rPr>
                <w:rFonts w:ascii="Arial" w:cs="Arial" w:eastAsia="Arial" w:hAnsi="Arial"/>
                <w:sz w:val="27"/>
                <w:szCs w:val="27"/>
                <w:color w:val="auto"/>
                <w:vertAlign w:val="superscript"/>
              </w:rPr>
              <w:t>(3)</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color w:val="auto"/>
              </w:rPr>
              <w:t>0.2</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color w:val="auto"/>
              </w:rPr>
              <w:t>–</w:t>
            </w:r>
          </w:p>
        </w:tc>
      </w:tr>
      <w:tr>
        <w:trPr>
          <w:trHeight w:val="234"/>
        </w:trPr>
        <w:tc>
          <w:tcPr>
            <w:tcW w:w="678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GM International (“GMI”) restructuring</w:t>
            </w:r>
            <w:r>
              <w:rPr>
                <w:rFonts w:ascii="Arial" w:cs="Arial" w:eastAsia="Arial" w:hAnsi="Arial"/>
                <w:sz w:val="27"/>
                <w:szCs w:val="27"/>
                <w:color w:val="auto"/>
                <w:vertAlign w:val="superscript"/>
              </w:rPr>
              <w:t>(4)</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1.1</w:t>
            </w:r>
          </w:p>
        </w:tc>
      </w:tr>
      <w:tr>
        <w:trPr>
          <w:trHeight w:val="234"/>
        </w:trPr>
        <w:tc>
          <w:tcPr>
            <w:tcW w:w="678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Ignition switch recall and related legal matters</w:t>
            </w:r>
            <w:r>
              <w:rPr>
                <w:rFonts w:ascii="Arial" w:cs="Arial" w:eastAsia="Arial" w:hAnsi="Arial"/>
                <w:sz w:val="27"/>
                <w:szCs w:val="27"/>
                <w:color w:val="auto"/>
                <w:vertAlign w:val="superscript"/>
              </w:rPr>
              <w:t>(5)</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0.4</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00A1DF"/>
              </w:rPr>
              <w:t>Total Special items</w:t>
            </w:r>
          </w:p>
        </w:tc>
        <w:tc>
          <w:tcPr>
            <w:tcW w:w="2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00A1DF"/>
              </w:rPr>
              <w:t>0.5</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00A1DF"/>
              </w:rPr>
              <w:t>2.9</w:t>
            </w:r>
          </w:p>
        </w:tc>
      </w:tr>
      <w:tr>
        <w:trPr>
          <w:trHeight w:val="234"/>
        </w:trPr>
        <w:tc>
          <w:tcPr>
            <w:tcW w:w="67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00A1DF"/>
              </w:rPr>
              <w:t>EBIT-adjusted</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A1DF"/>
              </w:rPr>
              <w:t>$</w:t>
            </w: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00A1DF"/>
              </w:rPr>
              <w:t>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A1DF"/>
              </w:rPr>
              <w:t>$</w:t>
            </w: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00A1DF"/>
              </w:rPr>
              <w:t>11.8</w:t>
            </w:r>
          </w:p>
        </w:tc>
      </w:tr>
      <w:tr>
        <w:trPr>
          <w:trHeight w:val="234"/>
        </w:trPr>
        <w:tc>
          <w:tcPr>
            <w:tcW w:w="6780" w:type="dxa"/>
            <w:vAlign w:val="bottom"/>
            <w:tcBorders>
              <w:bottom w:val="single" w:sz="8" w:color="0033A0"/>
            </w:tcBorders>
          </w:tcPr>
          <w:p>
            <w:pPr>
              <w:ind w:left="80"/>
              <w:spacing w:after="0"/>
              <w:rPr>
                <w:sz w:val="20"/>
                <w:szCs w:val="20"/>
                <w:color w:val="auto"/>
              </w:rPr>
            </w:pPr>
            <w:r>
              <w:rPr>
                <w:rFonts w:ascii="Arial" w:cs="Arial" w:eastAsia="Arial" w:hAnsi="Arial"/>
                <w:sz w:val="20"/>
                <w:szCs w:val="20"/>
                <w:b w:val="1"/>
                <w:bCs w:val="1"/>
                <w:color w:val="00A1DF"/>
              </w:rPr>
              <w:t>Net Sales and Revenue</w:t>
            </w:r>
          </w:p>
        </w:tc>
        <w:tc>
          <w:tcPr>
            <w:tcW w:w="2340" w:type="dxa"/>
            <w:vAlign w:val="bottom"/>
            <w:tcBorders>
              <w:bottom w:val="single" w:sz="8" w:color="0033A0"/>
            </w:tcBorders>
          </w:tcPr>
          <w:p>
            <w:pPr>
              <w:jc w:val="right"/>
              <w:spacing w:after="0"/>
              <w:rPr>
                <w:sz w:val="20"/>
                <w:szCs w:val="20"/>
                <w:color w:val="auto"/>
              </w:rPr>
            </w:pPr>
            <w:r>
              <w:rPr>
                <w:rFonts w:ascii="Arial" w:cs="Arial" w:eastAsia="Arial" w:hAnsi="Arial"/>
                <w:sz w:val="20"/>
                <w:szCs w:val="20"/>
                <w:b w:val="1"/>
                <w:bCs w:val="1"/>
                <w:color w:val="00A1DF"/>
              </w:rPr>
              <w:t>$</w:t>
            </w:r>
          </w:p>
        </w:tc>
        <w:tc>
          <w:tcPr>
            <w:tcW w:w="800" w:type="dxa"/>
            <w:vAlign w:val="bottom"/>
            <w:tcBorders>
              <w:bottom w:val="single" w:sz="8" w:color="0033A0"/>
            </w:tcBorders>
          </w:tcPr>
          <w:p>
            <w:pPr>
              <w:jc w:val="right"/>
              <w:ind w:right="202"/>
              <w:spacing w:after="0"/>
              <w:rPr>
                <w:sz w:val="20"/>
                <w:szCs w:val="20"/>
                <w:color w:val="auto"/>
              </w:rPr>
            </w:pPr>
            <w:r>
              <w:rPr>
                <w:rFonts w:ascii="Arial" w:cs="Arial" w:eastAsia="Arial" w:hAnsi="Arial"/>
                <w:sz w:val="20"/>
                <w:szCs w:val="20"/>
                <w:b w:val="1"/>
                <w:bCs w:val="1"/>
                <w:color w:val="00A1DF"/>
                <w:w w:val="95"/>
              </w:rPr>
              <w:t>137.2</w:t>
            </w:r>
          </w:p>
        </w:tc>
        <w:tc>
          <w:tcPr>
            <w:tcW w:w="260" w:type="dxa"/>
            <w:vAlign w:val="bottom"/>
            <w:tcBorders>
              <w:bottom w:val="single" w:sz="8" w:color="0033A0"/>
            </w:tcBorders>
          </w:tcPr>
          <w:p>
            <w:pPr>
              <w:jc w:val="right"/>
              <w:spacing w:after="0"/>
              <w:rPr>
                <w:sz w:val="20"/>
                <w:szCs w:val="20"/>
                <w:color w:val="auto"/>
              </w:rPr>
            </w:pPr>
            <w:r>
              <w:rPr>
                <w:rFonts w:ascii="Arial" w:cs="Arial" w:eastAsia="Arial" w:hAnsi="Arial"/>
                <w:sz w:val="20"/>
                <w:szCs w:val="20"/>
                <w:b w:val="1"/>
                <w:bCs w:val="1"/>
                <w:color w:val="00A1DF"/>
              </w:rPr>
              <w:t>$</w:t>
            </w:r>
          </w:p>
        </w:tc>
        <w:tc>
          <w:tcPr>
            <w:tcW w:w="740" w:type="dxa"/>
            <w:vAlign w:val="bottom"/>
            <w:tcBorders>
              <w:bottom w:val="single" w:sz="8" w:color="0033A0"/>
            </w:tcBorders>
          </w:tcPr>
          <w:p>
            <w:pPr>
              <w:jc w:val="right"/>
              <w:ind w:right="142"/>
              <w:spacing w:after="0"/>
              <w:rPr>
                <w:sz w:val="20"/>
                <w:szCs w:val="20"/>
                <w:color w:val="auto"/>
              </w:rPr>
            </w:pPr>
            <w:r>
              <w:rPr>
                <w:rFonts w:ascii="Arial" w:cs="Arial" w:eastAsia="Arial" w:hAnsi="Arial"/>
                <w:sz w:val="20"/>
                <w:szCs w:val="20"/>
                <w:b w:val="1"/>
                <w:bCs w:val="1"/>
                <w:color w:val="00A1DF"/>
                <w:w w:val="95"/>
              </w:rPr>
              <w:t>147.0</w:t>
            </w:r>
          </w:p>
        </w:tc>
      </w:tr>
      <w:tr>
        <w:trPr>
          <w:trHeight w:val="279"/>
        </w:trPr>
        <w:tc>
          <w:tcPr>
            <w:tcW w:w="6780" w:type="dxa"/>
            <w:vAlign w:val="bottom"/>
          </w:tcPr>
          <w:p>
            <w:pPr>
              <w:ind w:left="80"/>
              <w:spacing w:after="0"/>
              <w:rPr>
                <w:sz w:val="20"/>
                <w:szCs w:val="20"/>
                <w:color w:val="auto"/>
              </w:rPr>
            </w:pPr>
            <w:r>
              <w:rPr>
                <w:rFonts w:ascii="Arial" w:cs="Arial" w:eastAsia="Arial" w:hAnsi="Arial"/>
                <w:sz w:val="20"/>
                <w:szCs w:val="20"/>
                <w:b w:val="1"/>
                <w:bCs w:val="1"/>
                <w:color w:val="00A1DF"/>
              </w:rPr>
              <w:t>EBIT-adjusted Margin</w:t>
            </w:r>
          </w:p>
        </w:tc>
        <w:tc>
          <w:tcPr>
            <w:tcW w:w="2340" w:type="dxa"/>
            <w:vAlign w:val="bottom"/>
          </w:tcPr>
          <w:p>
            <w:pPr>
              <w:spacing w:after="0"/>
              <w:rPr>
                <w:sz w:val="24"/>
                <w:szCs w:val="24"/>
                <w:color w:val="auto"/>
              </w:rPr>
            </w:pPr>
          </w:p>
        </w:tc>
        <w:tc>
          <w:tcPr>
            <w:tcW w:w="800" w:type="dxa"/>
            <w:vAlign w:val="bottom"/>
          </w:tcPr>
          <w:p>
            <w:pPr>
              <w:jc w:val="right"/>
              <w:ind w:right="42"/>
              <w:spacing w:after="0"/>
              <w:rPr>
                <w:sz w:val="20"/>
                <w:szCs w:val="20"/>
                <w:color w:val="auto"/>
              </w:rPr>
            </w:pPr>
            <w:r>
              <w:rPr>
                <w:rFonts w:ascii="Arial" w:cs="Arial" w:eastAsia="Arial" w:hAnsi="Arial"/>
                <w:sz w:val="20"/>
                <w:szCs w:val="20"/>
                <w:b w:val="1"/>
                <w:bCs w:val="1"/>
                <w:color w:val="00A1DF"/>
              </w:rPr>
              <w:t>6.1%</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00A1DF"/>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31115</wp:posOffset>
            </wp:positionV>
            <wp:extent cx="69297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jc w:val="both"/>
        <w:ind w:left="600" w:right="100" w:hanging="433"/>
        <w:spacing w:after="0" w:line="239" w:lineRule="auto"/>
        <w:tabs>
          <w:tab w:leader="none" w:pos="60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 and primarily employee separation charges and accelerated depreciation in the year ended December 31, 2018.</w:t>
      </w:r>
    </w:p>
    <w:p>
      <w:pPr>
        <w:spacing w:after="0" w:line="39" w:lineRule="exact"/>
        <w:rPr>
          <w:rFonts w:ascii="Arial" w:cs="Arial" w:eastAsia="Arial" w:hAnsi="Arial"/>
          <w:sz w:val="18"/>
          <w:szCs w:val="18"/>
          <w:i w:val="1"/>
          <w:iCs w:val="1"/>
          <w:color w:val="auto"/>
        </w:rPr>
      </w:pPr>
    </w:p>
    <w:p>
      <w:pPr>
        <w:ind w:left="600" w:right="100" w:hanging="433"/>
        <w:spacing w:after="0" w:line="260" w:lineRule="auto"/>
        <w:tabs>
          <w:tab w:leader="none" w:pos="60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This adjustment was excluded because of the unique events associated with decisions rendered by the Superior Judicial Court of Brazil resulting in retrospective recoveries of indirect taxes.</w:t>
      </w:r>
    </w:p>
    <w:p>
      <w:pPr>
        <w:spacing w:after="0" w:line="19" w:lineRule="exact"/>
        <w:rPr>
          <w:rFonts w:ascii="Arial" w:cs="Arial" w:eastAsia="Arial" w:hAnsi="Arial"/>
          <w:sz w:val="18"/>
          <w:szCs w:val="18"/>
          <w:i w:val="1"/>
          <w:iCs w:val="1"/>
          <w:color w:val="auto"/>
        </w:rPr>
      </w:pPr>
    </w:p>
    <w:p>
      <w:pPr>
        <w:jc w:val="both"/>
        <w:ind w:left="600" w:right="100" w:hanging="433"/>
        <w:spacing w:after="0" w:line="246" w:lineRule="auto"/>
        <w:tabs>
          <w:tab w:leader="none" w:pos="60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32" w:lineRule="exact"/>
        <w:rPr>
          <w:rFonts w:ascii="Arial" w:cs="Arial" w:eastAsia="Arial" w:hAnsi="Arial"/>
          <w:sz w:val="18"/>
          <w:szCs w:val="18"/>
          <w:i w:val="1"/>
          <w:iCs w:val="1"/>
          <w:color w:val="auto"/>
        </w:rPr>
      </w:pPr>
    </w:p>
    <w:p>
      <w:pPr>
        <w:jc w:val="both"/>
        <w:ind w:left="600" w:right="100" w:hanging="433"/>
        <w:spacing w:after="0" w:line="246" w:lineRule="auto"/>
        <w:tabs>
          <w:tab w:leader="none" w:pos="600" w:val="left"/>
        </w:tabs>
        <w:numPr>
          <w:ilvl w:val="0"/>
          <w:numId w:val="167"/>
        </w:numPr>
        <w:rPr>
          <w:rFonts w:ascii="Arial" w:cs="Arial" w:eastAsia="Arial" w:hAnsi="Arial"/>
          <w:sz w:val="18"/>
          <w:szCs w:val="18"/>
          <w:i w:val="1"/>
          <w:iCs w:val="1"/>
          <w:color w:val="auto"/>
        </w:rPr>
      </w:pPr>
      <w:r>
        <w:rPr>
          <w:rFonts w:ascii="Arial" w:cs="Arial" w:eastAsia="Arial" w:hAnsi="Arial"/>
          <w:sz w:val="18"/>
          <w:szCs w:val="18"/>
          <w:i w:val="1"/>
          <w:iCs w:val="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asset impairments and supplier claims, all in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A-1</w:t>
      </w:r>
    </w:p>
    <w:p>
      <w:pPr>
        <w:sectPr>
          <w:pgSz w:w="11900" w:h="16838" w:orient="portrait"/>
          <w:cols w:equalWidth="0" w:num="1">
            <w:col w:w="11180"/>
          </w:cols>
          <w:pgMar w:left="320" w:top="456" w:right="39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A1DF"/>
        </w:rPr>
        <w:t xml:space="preserve">APPENDIX A: </w:t>
      </w:r>
      <w:r>
        <w:rPr>
          <w:rFonts w:ascii="Arial" w:cs="Arial" w:eastAsia="Arial" w:hAnsi="Arial"/>
          <w:sz w:val="14"/>
          <w:szCs w:val="14"/>
          <w:b w:val="1"/>
          <w:bCs w:val="1"/>
          <w:color w:val="0033A0"/>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p>
      <w:pPr>
        <w:ind w:left="600" w:right="80" w:hanging="433"/>
        <w:spacing w:after="0" w:line="260" w:lineRule="auto"/>
        <w:tabs>
          <w:tab w:leader="none" w:pos="600"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color w:val="auto"/>
        </w:rPr>
        <w:t>This adjustment was excluded because of the unique events associated with the ignition switch recall, which included various investigations, inquiries and complaints from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134620</wp:posOffset>
            </wp:positionV>
            <wp:extent cx="69297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7260" w:type="dxa"/>
            <w:vAlign w:val="bottom"/>
            <w:tcBorders>
              <w:bottom w:val="single" w:sz="8" w:color="00A1DF"/>
            </w:tcBorders>
          </w:tcPr>
          <w:p>
            <w:pPr>
              <w:spacing w:after="0"/>
              <w:rPr>
                <w:sz w:val="20"/>
                <w:szCs w:val="20"/>
                <w:color w:val="auto"/>
              </w:rPr>
            </w:pPr>
            <w:r>
              <w:rPr>
                <w:rFonts w:ascii="Arial" w:cs="Arial" w:eastAsia="Arial" w:hAnsi="Arial"/>
                <w:sz w:val="20"/>
                <w:szCs w:val="20"/>
                <w:b w:val="1"/>
                <w:bCs w:val="1"/>
                <w:color w:val="00A1DF"/>
              </w:rPr>
              <w:t>$ per Share</w:t>
            </w:r>
          </w:p>
        </w:tc>
        <w:tc>
          <w:tcPr>
            <w:tcW w:w="2680" w:type="dxa"/>
            <w:vAlign w:val="bottom"/>
            <w:tcBorders>
              <w:bottom w:val="single" w:sz="8" w:color="00A1DF"/>
            </w:tcBorders>
          </w:tcPr>
          <w:p>
            <w:pPr>
              <w:jc w:val="right"/>
              <w:ind w:right="142"/>
              <w:spacing w:after="0"/>
              <w:rPr>
                <w:sz w:val="20"/>
                <w:szCs w:val="20"/>
                <w:color w:val="auto"/>
              </w:rPr>
            </w:pPr>
            <w:r>
              <w:rPr>
                <w:rFonts w:ascii="Arial" w:cs="Arial" w:eastAsia="Arial" w:hAnsi="Arial"/>
                <w:sz w:val="20"/>
                <w:szCs w:val="20"/>
                <w:b w:val="1"/>
                <w:bCs w:val="1"/>
                <w:color w:val="00A1DF"/>
              </w:rPr>
              <w:t>2019</w:t>
            </w:r>
          </w:p>
        </w:tc>
        <w:tc>
          <w:tcPr>
            <w:tcW w:w="980" w:type="dxa"/>
            <w:vAlign w:val="bottom"/>
            <w:tcBorders>
              <w:bottom w:val="single" w:sz="8" w:color="00A1DF"/>
            </w:tcBorders>
          </w:tcPr>
          <w:p>
            <w:pPr>
              <w:jc w:val="right"/>
              <w:ind w:right="122"/>
              <w:spacing w:after="0"/>
              <w:rPr>
                <w:sz w:val="20"/>
                <w:szCs w:val="20"/>
                <w:color w:val="auto"/>
              </w:rPr>
            </w:pPr>
            <w:r>
              <w:rPr>
                <w:rFonts w:ascii="Arial" w:cs="Arial" w:eastAsia="Arial" w:hAnsi="Arial"/>
                <w:sz w:val="20"/>
                <w:szCs w:val="20"/>
                <w:b w:val="1"/>
                <w:bCs w:val="1"/>
                <w:color w:val="00A1DF"/>
              </w:rPr>
              <w:t>2018</w:t>
            </w:r>
          </w:p>
        </w:tc>
      </w:tr>
      <w:tr>
        <w:trPr>
          <w:trHeight w:val="234"/>
        </w:trPr>
        <w:tc>
          <w:tcPr>
            <w:tcW w:w="726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Diluted Earnings (Loss) per Common Share</w:t>
            </w:r>
          </w:p>
        </w:tc>
        <w:tc>
          <w:tcPr>
            <w:tcW w:w="2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$ 4.57</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$ 5.53</w:t>
            </w:r>
          </w:p>
        </w:tc>
      </w:tr>
      <w:tr>
        <w:trPr>
          <w:trHeight w:val="234"/>
        </w:trPr>
        <w:tc>
          <w:tcPr>
            <w:tcW w:w="72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Diluted loss per common share – discontinued operations</w:t>
            </w:r>
          </w:p>
        </w:tc>
        <w:tc>
          <w:tcPr>
            <w:tcW w:w="268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0.05</w:t>
            </w:r>
          </w:p>
        </w:tc>
      </w:tr>
      <w:tr>
        <w:trPr>
          <w:trHeight w:val="234"/>
        </w:trPr>
        <w:tc>
          <w:tcPr>
            <w:tcW w:w="726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Adjustments</w:t>
            </w:r>
            <w:r>
              <w:rPr>
                <w:rFonts w:ascii="Arial" w:cs="Arial" w:eastAsia="Arial" w:hAnsi="Arial"/>
                <w:sz w:val="27"/>
                <w:szCs w:val="27"/>
                <w:color w:val="auto"/>
                <w:vertAlign w:val="superscript"/>
              </w:rPr>
              <w:t>(1)</w:t>
            </w:r>
          </w:p>
        </w:tc>
        <w:tc>
          <w:tcPr>
            <w:tcW w:w="2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0.38</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2.03</w:t>
            </w:r>
          </w:p>
        </w:tc>
      </w:tr>
      <w:tr>
        <w:trPr>
          <w:trHeight w:val="234"/>
        </w:trPr>
        <w:tc>
          <w:tcPr>
            <w:tcW w:w="726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Tax effect of adjustments</w:t>
            </w:r>
            <w:r>
              <w:rPr>
                <w:rFonts w:ascii="Arial" w:cs="Arial" w:eastAsia="Arial" w:hAnsi="Arial"/>
                <w:sz w:val="27"/>
                <w:szCs w:val="27"/>
                <w:color w:val="auto"/>
                <w:vertAlign w:val="superscript"/>
              </w:rPr>
              <w:t>(2)</w:t>
            </w:r>
          </w:p>
        </w:tc>
        <w:tc>
          <w:tcPr>
            <w:tcW w:w="26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(0.13)</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(0.29)</w:t>
            </w:r>
          </w:p>
        </w:tc>
      </w:tr>
      <w:tr>
        <w:trPr>
          <w:trHeight w:val="234"/>
        </w:trPr>
        <w:tc>
          <w:tcPr>
            <w:tcW w:w="726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Tax adjustments</w:t>
            </w:r>
            <w:r>
              <w:rPr>
                <w:rFonts w:ascii="Arial" w:cs="Arial" w:eastAsia="Arial" w:hAnsi="Arial"/>
                <w:sz w:val="27"/>
                <w:szCs w:val="27"/>
                <w:color w:val="auto"/>
                <w:vertAlign w:val="superscript"/>
              </w:rPr>
              <w:t>(3)</w:t>
            </w:r>
          </w:p>
        </w:tc>
        <w:tc>
          <w:tcPr>
            <w:tcW w:w="268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(0.78)</w:t>
            </w:r>
          </w:p>
        </w:tc>
      </w:tr>
      <w:tr>
        <w:trPr>
          <w:trHeight w:val="234"/>
        </w:trPr>
        <w:tc>
          <w:tcPr>
            <w:tcW w:w="726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00A1DF"/>
              </w:rPr>
              <w:t>EPS-diluted-adjusted</w:t>
            </w:r>
          </w:p>
        </w:tc>
        <w:tc>
          <w:tcPr>
            <w:tcW w:w="26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00A1DF"/>
              </w:rPr>
              <w:t>$ 4.82</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00A1DF"/>
              </w:rPr>
              <w:t>$ 6.54</w:t>
            </w:r>
          </w:p>
        </w:tc>
      </w:tr>
    </w:tbl>
    <w:p>
      <w:pPr>
        <w:spacing w:after="0" w:line="48" w:lineRule="exact"/>
        <w:rPr>
          <w:sz w:val="20"/>
          <w:szCs w:val="20"/>
          <w:color w:val="auto"/>
        </w:rPr>
      </w:pPr>
    </w:p>
    <w:p>
      <w:pPr>
        <w:ind w:left="600" w:right="60" w:hanging="433"/>
        <w:spacing w:after="0" w:line="260" w:lineRule="auto"/>
        <w:tabs>
          <w:tab w:leader="none" w:pos="600"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Refer to the reconciliation of EBIT-adjusted on a continuing operations basis on page A-1 of this Proxy Statement for adjustment details.</w:t>
      </w:r>
    </w:p>
    <w:p>
      <w:pPr>
        <w:spacing w:after="0" w:line="19" w:lineRule="exact"/>
        <w:rPr>
          <w:rFonts w:ascii="Arial" w:cs="Arial" w:eastAsia="Arial" w:hAnsi="Arial"/>
          <w:sz w:val="18"/>
          <w:szCs w:val="18"/>
          <w:i w:val="1"/>
          <w:iCs w:val="1"/>
          <w:color w:val="auto"/>
        </w:rPr>
      </w:pPr>
    </w:p>
    <w:p>
      <w:pPr>
        <w:ind w:left="600" w:right="80" w:hanging="433"/>
        <w:spacing w:after="0" w:line="260" w:lineRule="auto"/>
        <w:tabs>
          <w:tab w:leader="none" w:pos="600"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 of each adjustment is determined based on the tax laws and valuation allowance status of the jurisdiction to which the adjustment relates.</w:t>
      </w:r>
    </w:p>
    <w:p>
      <w:pPr>
        <w:spacing w:after="0" w:line="19" w:lineRule="exact"/>
        <w:rPr>
          <w:rFonts w:ascii="Arial" w:cs="Arial" w:eastAsia="Arial" w:hAnsi="Arial"/>
          <w:sz w:val="18"/>
          <w:szCs w:val="18"/>
          <w:i w:val="1"/>
          <w:iCs w:val="1"/>
          <w:color w:val="auto"/>
        </w:rPr>
      </w:pPr>
    </w:p>
    <w:p>
      <w:pPr>
        <w:jc w:val="both"/>
        <w:ind w:left="600" w:right="60" w:hanging="433"/>
        <w:spacing w:after="0" w:line="246" w:lineRule="auto"/>
        <w:tabs>
          <w:tab w:leader="none" w:pos="600" w:val="left"/>
        </w:tabs>
        <w:numPr>
          <w:ilvl w:val="0"/>
          <w:numId w:val="169"/>
        </w:numPr>
        <w:rPr>
          <w:rFonts w:ascii="Arial" w:cs="Arial" w:eastAsia="Arial" w:hAnsi="Arial"/>
          <w:sz w:val="18"/>
          <w:szCs w:val="18"/>
          <w:i w:val="1"/>
          <w:iCs w:val="1"/>
          <w:color w:val="auto"/>
        </w:rPr>
      </w:pPr>
      <w:r>
        <w:rPr>
          <w:rFonts w:ascii="Arial" w:cs="Arial" w:eastAsia="Arial" w:hAnsi="Arial"/>
          <w:sz w:val="18"/>
          <w:szCs w:val="18"/>
          <w:i w:val="1"/>
          <w:iCs w:val="1"/>
          <w:color w:val="auto"/>
        </w:rPr>
        <w:t>This adjustment consists of: (1) a non-recurring tax benefit related to foreign earnings and (2) tax effects related to U.S. tax reform legislation. This adjustment was excluded because impacts of tax legislation and valuation allowances are not considered part of our core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297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8480" w:type="dxa"/>
            <w:vAlign w:val="bottom"/>
            <w:tcBorders>
              <w:bottom w:val="single" w:sz="8" w:color="00A1DF"/>
            </w:tcBorders>
          </w:tcPr>
          <w:p>
            <w:pPr>
              <w:spacing w:after="0"/>
              <w:rPr>
                <w:sz w:val="20"/>
                <w:szCs w:val="20"/>
                <w:color w:val="auto"/>
              </w:rPr>
            </w:pPr>
            <w:r>
              <w:rPr>
                <w:rFonts w:ascii="Arial" w:cs="Arial" w:eastAsia="Arial" w:hAnsi="Arial"/>
                <w:sz w:val="20"/>
                <w:szCs w:val="20"/>
                <w:b w:val="1"/>
                <w:bCs w:val="1"/>
                <w:color w:val="00A1DF"/>
              </w:rPr>
              <w:t>($B)</w:t>
            </w:r>
          </w:p>
        </w:tc>
        <w:tc>
          <w:tcPr>
            <w:tcW w:w="2440" w:type="dxa"/>
            <w:vAlign w:val="bottom"/>
            <w:tcBorders>
              <w:bottom w:val="single" w:sz="8" w:color="00A1DF"/>
            </w:tcBorders>
          </w:tcPr>
          <w:p>
            <w:pPr>
              <w:jc w:val="right"/>
              <w:ind w:right="142"/>
              <w:spacing w:after="0"/>
              <w:rPr>
                <w:sz w:val="20"/>
                <w:szCs w:val="20"/>
                <w:color w:val="auto"/>
              </w:rPr>
            </w:pPr>
            <w:r>
              <w:rPr>
                <w:rFonts w:ascii="Arial" w:cs="Arial" w:eastAsia="Arial" w:hAnsi="Arial"/>
                <w:sz w:val="20"/>
                <w:szCs w:val="20"/>
                <w:b w:val="1"/>
                <w:bCs w:val="1"/>
                <w:color w:val="00A1DF"/>
              </w:rPr>
              <w:t>2019</w:t>
            </w:r>
          </w:p>
        </w:tc>
      </w:tr>
      <w:tr>
        <w:trPr>
          <w:trHeight w:val="234"/>
        </w:trPr>
        <w:tc>
          <w:tcPr>
            <w:tcW w:w="8480" w:type="dxa"/>
            <w:vAlign w:val="bottom"/>
            <w:tcBorders>
              <w:bottom w:val="single" w:sz="8" w:color="auto"/>
            </w:tcBorders>
          </w:tcPr>
          <w:p>
            <w:pPr>
              <w:ind w:left="80"/>
              <w:spacing w:after="0" w:line="233" w:lineRule="exact"/>
              <w:rPr>
                <w:sz w:val="20"/>
                <w:szCs w:val="20"/>
                <w:color w:val="auto"/>
              </w:rPr>
            </w:pPr>
            <w:r>
              <w:rPr>
                <w:rFonts w:ascii="Arial" w:cs="Arial" w:eastAsia="Arial" w:hAnsi="Arial"/>
                <w:sz w:val="17"/>
                <w:szCs w:val="17"/>
                <w:b w:val="1"/>
                <w:bCs w:val="1"/>
                <w:color w:val="auto"/>
              </w:rPr>
              <w:t>EBIT-adjusted</w:t>
            </w:r>
            <w:r>
              <w:rPr>
                <w:rFonts w:ascii="Arial" w:cs="Arial" w:eastAsia="Arial" w:hAnsi="Arial"/>
                <w:sz w:val="27"/>
                <w:szCs w:val="27"/>
                <w:b w:val="1"/>
                <w:bCs w:val="1"/>
                <w:color w:val="auto"/>
                <w:vertAlign w:val="superscript"/>
              </w:rPr>
              <w:t>(1)</w:t>
            </w:r>
          </w:p>
        </w:tc>
        <w:tc>
          <w:tcPr>
            <w:tcW w:w="2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rPr>
              <w:t>$  8.4</w:t>
            </w:r>
          </w:p>
        </w:tc>
      </w:tr>
      <w:tr>
        <w:trPr>
          <w:trHeight w:val="234"/>
        </w:trPr>
        <w:tc>
          <w:tcPr>
            <w:tcW w:w="8480" w:type="dxa"/>
            <w:vAlign w:val="bottom"/>
            <w:tcBorders>
              <w:bottom w:val="single" w:sz="8" w:color="auto"/>
            </w:tcBorders>
          </w:tcPr>
          <w:p>
            <w:pPr>
              <w:ind w:left="80"/>
              <w:spacing w:after="0" w:line="233" w:lineRule="exact"/>
              <w:rPr>
                <w:sz w:val="20"/>
                <w:szCs w:val="20"/>
                <w:color w:val="auto"/>
              </w:rPr>
            </w:pPr>
            <w:r>
              <w:rPr>
                <w:rFonts w:ascii="Arial" w:cs="Arial" w:eastAsia="Arial" w:hAnsi="Arial"/>
                <w:sz w:val="17"/>
                <w:szCs w:val="17"/>
                <w:color w:val="auto"/>
              </w:rPr>
              <w:t>Average equity</w:t>
            </w:r>
            <w:r>
              <w:rPr>
                <w:rFonts w:ascii="Arial" w:cs="Arial" w:eastAsia="Arial" w:hAnsi="Arial"/>
                <w:sz w:val="27"/>
                <w:szCs w:val="27"/>
                <w:color w:val="auto"/>
                <w:vertAlign w:val="superscript"/>
              </w:rPr>
              <w:t>(2)</w:t>
            </w:r>
          </w:p>
        </w:tc>
        <w:tc>
          <w:tcPr>
            <w:tcW w:w="2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43.7</w:t>
            </w:r>
          </w:p>
        </w:tc>
      </w:tr>
      <w:tr>
        <w:trPr>
          <w:trHeight w:val="234"/>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Add: Average automotive debt and interest liabilities (excluding capital leases)</w:t>
            </w:r>
          </w:p>
        </w:tc>
        <w:tc>
          <w:tcPr>
            <w:tcW w:w="2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14.9</w:t>
            </w:r>
          </w:p>
        </w:tc>
      </w:tr>
      <w:tr>
        <w:trPr>
          <w:trHeight w:val="234"/>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Add: Average automotive net pension &amp; OPEB liability</w:t>
            </w:r>
          </w:p>
        </w:tc>
        <w:tc>
          <w:tcPr>
            <w:tcW w:w="2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16.7</w:t>
            </w:r>
          </w:p>
        </w:tc>
      </w:tr>
      <w:tr>
        <w:trPr>
          <w:trHeight w:val="234"/>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Less: Average automotive net income tax asset</w:t>
            </w:r>
          </w:p>
        </w:tc>
        <w:tc>
          <w:tcPr>
            <w:tcW w:w="24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(23.5)</w:t>
            </w:r>
          </w:p>
        </w:tc>
      </w:tr>
      <w:tr>
        <w:trPr>
          <w:trHeight w:val="234"/>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ROIC-adjusted average net assets</w:t>
            </w:r>
          </w:p>
        </w:tc>
        <w:tc>
          <w:tcPr>
            <w:tcW w:w="24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51.8</w:t>
            </w:r>
          </w:p>
        </w:tc>
      </w:tr>
      <w:tr>
        <w:trPr>
          <w:trHeight w:val="234"/>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00A1DF"/>
              </w:rPr>
              <w:t>ROIC-adjusted</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A1DF"/>
              </w:rPr>
              <w:t>16.2%</w:t>
            </w:r>
          </w:p>
        </w:tc>
      </w:tr>
    </w:tbl>
    <w:p>
      <w:pPr>
        <w:spacing w:after="0" w:line="48" w:lineRule="exact"/>
        <w:rPr>
          <w:sz w:val="20"/>
          <w:szCs w:val="20"/>
          <w:color w:val="auto"/>
        </w:rPr>
      </w:pPr>
    </w:p>
    <w:p>
      <w:pPr>
        <w:ind w:left="600" w:hanging="433"/>
        <w:spacing w:after="0"/>
        <w:tabs>
          <w:tab w:leader="none" w:pos="600" w:val="left"/>
        </w:tabs>
        <w:numPr>
          <w:ilvl w:val="0"/>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Refer to the reconciliation of EBIT-adjusted on a continuing operations basis on page A-1 of this Proxy Statement.</w:t>
      </w:r>
    </w:p>
    <w:p>
      <w:pPr>
        <w:spacing w:after="0" w:line="60" w:lineRule="exact"/>
        <w:rPr>
          <w:rFonts w:ascii="Arial" w:cs="Arial" w:eastAsia="Arial" w:hAnsi="Arial"/>
          <w:sz w:val="18"/>
          <w:szCs w:val="18"/>
          <w:i w:val="1"/>
          <w:iCs w:val="1"/>
          <w:color w:val="auto"/>
        </w:rPr>
      </w:pPr>
    </w:p>
    <w:p>
      <w:pPr>
        <w:ind w:left="600" w:hanging="433"/>
        <w:spacing w:after="0"/>
        <w:tabs>
          <w:tab w:leader="none" w:pos="600" w:val="left"/>
        </w:tabs>
        <w:numPr>
          <w:ilvl w:val="0"/>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equity of noncontrolling interests where the corresponding earnings are included in EBIT-adjusted.</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A-2 </w:t>
      </w:r>
      <w:r>
        <w:rPr>
          <w:sz w:val="1"/>
          <w:szCs w:val="1"/>
          <w:color w:val="auto"/>
        </w:rPr>
        <w:drawing>
          <wp:inline distT="0" distB="0" distL="0" distR="0">
            <wp:extent cx="6793865" cy="10160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00A1DF"/>
        </w:rPr>
        <w:t xml:space="preserve">APPENDIX A: </w:t>
      </w:r>
      <w:r>
        <w:rPr>
          <w:rFonts w:ascii="Arial" w:cs="Arial" w:eastAsia="Arial" w:hAnsi="Arial"/>
          <w:sz w:val="14"/>
          <w:szCs w:val="14"/>
          <w:b w:val="1"/>
          <w:bCs w:val="1"/>
          <w:color w:val="0033A0"/>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31"/>
          <w:szCs w:val="31"/>
          <w:color w:val="00A1DF"/>
        </w:rPr>
        <w:t>Adjusted Automotive Free Cash Flow</w:t>
      </w:r>
    </w:p>
    <w:p>
      <w:pPr>
        <w:spacing w:after="0" w:line="176" w:lineRule="exact"/>
        <w:rPr>
          <w:sz w:val="20"/>
          <w:szCs w:val="20"/>
          <w:color w:val="auto"/>
        </w:rPr>
      </w:pPr>
    </w:p>
    <w:p>
      <w:pPr>
        <w:jc w:val="both"/>
        <w:ind w:left="160" w:right="100"/>
        <w:spacing w:after="0" w:line="228" w:lineRule="auto"/>
        <w:rPr>
          <w:sz w:val="20"/>
          <w:szCs w:val="20"/>
          <w:color w:val="auto"/>
        </w:rPr>
      </w:pPr>
      <w:r>
        <w:rPr>
          <w:rFonts w:ascii="Arial" w:cs="Arial" w:eastAsia="Arial" w:hAnsi="Arial"/>
          <w:sz w:val="20"/>
          <w:szCs w:val="20"/>
          <w:color w:val="auto"/>
        </w:rPr>
        <w:t>In the section titled “Executive Compensation,”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its nearest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55"/>
        </w:trPr>
        <w:tc>
          <w:tcPr>
            <w:tcW w:w="8760" w:type="dxa"/>
            <w:vAlign w:val="bottom"/>
            <w:tcBorders>
              <w:bottom w:val="single" w:sz="8" w:color="00A1DF"/>
            </w:tcBorders>
          </w:tcPr>
          <w:p>
            <w:pPr>
              <w:spacing w:after="0"/>
              <w:rPr>
                <w:sz w:val="20"/>
                <w:szCs w:val="20"/>
                <w:color w:val="auto"/>
              </w:rPr>
            </w:pPr>
            <w:r>
              <w:rPr>
                <w:rFonts w:ascii="Arial" w:cs="Arial" w:eastAsia="Arial" w:hAnsi="Arial"/>
                <w:sz w:val="20"/>
                <w:szCs w:val="20"/>
                <w:b w:val="1"/>
                <w:bCs w:val="1"/>
                <w:color w:val="00A1DF"/>
              </w:rPr>
              <w:t>($B)</w:t>
            </w:r>
          </w:p>
        </w:tc>
        <w:tc>
          <w:tcPr>
            <w:tcW w:w="2160" w:type="dxa"/>
            <w:vAlign w:val="bottom"/>
            <w:tcBorders>
              <w:bottom w:val="single" w:sz="8" w:color="00A1DF"/>
            </w:tcBorders>
          </w:tcPr>
          <w:p>
            <w:pPr>
              <w:jc w:val="right"/>
              <w:ind w:right="122"/>
              <w:spacing w:after="0"/>
              <w:rPr>
                <w:sz w:val="20"/>
                <w:szCs w:val="20"/>
                <w:color w:val="auto"/>
              </w:rPr>
            </w:pPr>
            <w:r>
              <w:rPr>
                <w:rFonts w:ascii="Arial" w:cs="Arial" w:eastAsia="Arial" w:hAnsi="Arial"/>
                <w:sz w:val="20"/>
                <w:szCs w:val="20"/>
                <w:b w:val="1"/>
                <w:bCs w:val="1"/>
                <w:color w:val="00A1DF"/>
              </w:rPr>
              <w:t>2019</w:t>
            </w:r>
          </w:p>
        </w:tc>
      </w:tr>
      <w:tr>
        <w:trPr>
          <w:trHeight w:val="234"/>
        </w:trPr>
        <w:tc>
          <w:tcPr>
            <w:tcW w:w="876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auto"/>
              </w:rPr>
              <w:t>Net automotive cash provided by operating activities – continuing operations</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$ 7.4</w:t>
            </w:r>
          </w:p>
        </w:tc>
      </w:tr>
      <w:tr>
        <w:trPr>
          <w:trHeight w:val="234"/>
        </w:trPr>
        <w:tc>
          <w:tcPr>
            <w:tcW w:w="8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Less: capital expenditures – continuing operations</w:t>
            </w:r>
          </w:p>
        </w:tc>
        <w:tc>
          <w:tcPr>
            <w:tcW w:w="21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(7.5)</w:t>
            </w:r>
          </w:p>
        </w:tc>
      </w:tr>
      <w:tr>
        <w:trPr>
          <w:trHeight w:val="234"/>
        </w:trPr>
        <w:tc>
          <w:tcPr>
            <w:tcW w:w="8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Adjustments</w:t>
            </w:r>
          </w:p>
        </w:tc>
        <w:tc>
          <w:tcPr>
            <w:tcW w:w="2160" w:type="dxa"/>
            <w:vAlign w:val="bottom"/>
            <w:tcBorders>
              <w:bottom w:val="single" w:sz="8" w:color="auto"/>
            </w:tcBorders>
          </w:tcPr>
          <w:p>
            <w:pPr>
              <w:spacing w:after="0"/>
              <w:rPr>
                <w:sz w:val="20"/>
                <w:szCs w:val="20"/>
                <w:color w:val="auto"/>
              </w:rPr>
            </w:pPr>
          </w:p>
        </w:tc>
      </w:tr>
      <w:tr>
        <w:trPr>
          <w:trHeight w:val="234"/>
        </w:trPr>
        <w:tc>
          <w:tcPr>
            <w:tcW w:w="8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Transformation activities</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1.1</w:t>
            </w:r>
          </w:p>
        </w:tc>
      </w:tr>
      <w:tr>
        <w:trPr>
          <w:trHeight w:val="234"/>
        </w:trPr>
        <w:tc>
          <w:tcPr>
            <w:tcW w:w="8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GM Brazil indirect tax recoveries</w:t>
            </w:r>
          </w:p>
        </w:tc>
        <w:tc>
          <w:tcPr>
            <w:tcW w:w="21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(0.1)</w:t>
            </w:r>
          </w:p>
        </w:tc>
      </w:tr>
      <w:tr>
        <w:trPr>
          <w:trHeight w:val="234"/>
        </w:trPr>
        <w:tc>
          <w:tcPr>
            <w:tcW w:w="8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FAW-GM divestiture</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0.2</w:t>
            </w:r>
          </w:p>
        </w:tc>
      </w:tr>
      <w:tr>
        <w:trPr>
          <w:trHeight w:val="234"/>
        </w:trPr>
        <w:tc>
          <w:tcPr>
            <w:tcW w:w="8760" w:type="dxa"/>
            <w:vAlign w:val="bottom"/>
            <w:tcBorders>
              <w:bottom w:val="single" w:sz="8" w:color="auto"/>
            </w:tcBorders>
          </w:tcPr>
          <w:p>
            <w:pPr>
              <w:ind w:left="400"/>
              <w:spacing w:after="0"/>
              <w:rPr>
                <w:sz w:val="20"/>
                <w:szCs w:val="20"/>
                <w:color w:val="auto"/>
              </w:rPr>
            </w:pPr>
            <w:r>
              <w:rPr>
                <w:rFonts w:ascii="Arial" w:cs="Arial" w:eastAsia="Arial" w:hAnsi="Arial"/>
                <w:sz w:val="20"/>
                <w:szCs w:val="20"/>
                <w:color w:val="auto"/>
              </w:rPr>
              <w:t>GMI Restructuring</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0.0</w:t>
            </w:r>
          </w:p>
        </w:tc>
      </w:tr>
      <w:tr>
        <w:trPr>
          <w:trHeight w:val="234"/>
        </w:trPr>
        <w:tc>
          <w:tcPr>
            <w:tcW w:w="8760" w:type="dxa"/>
            <w:vAlign w:val="bottom"/>
            <w:tcBorders>
              <w:bottom w:val="single" w:sz="8" w:color="auto"/>
            </w:tcBorders>
          </w:tcPr>
          <w:p>
            <w:pPr>
              <w:ind w:left="400"/>
              <w:spacing w:after="0" w:line="233" w:lineRule="exact"/>
              <w:rPr>
                <w:sz w:val="20"/>
                <w:szCs w:val="20"/>
                <w:color w:val="auto"/>
              </w:rPr>
            </w:pPr>
            <w:r>
              <w:rPr>
                <w:rFonts w:ascii="Arial" w:cs="Arial" w:eastAsia="Arial" w:hAnsi="Arial"/>
                <w:sz w:val="17"/>
                <w:szCs w:val="17"/>
                <w:color w:val="auto"/>
              </w:rPr>
              <w:t>Incentive compensation adjustments</w:t>
            </w:r>
            <w:r>
              <w:rPr>
                <w:rFonts w:ascii="Arial" w:cs="Arial" w:eastAsia="Arial" w:hAnsi="Arial"/>
                <w:sz w:val="27"/>
                <w:szCs w:val="27"/>
                <w:color w:val="auto"/>
                <w:vertAlign w:val="superscript"/>
              </w:rPr>
              <w:t>(1)</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0.2</w:t>
            </w:r>
          </w:p>
        </w:tc>
      </w:tr>
      <w:tr>
        <w:trPr>
          <w:trHeight w:val="234"/>
        </w:trPr>
        <w:tc>
          <w:tcPr>
            <w:tcW w:w="8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Total adjustments</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1.4</w:t>
            </w:r>
          </w:p>
        </w:tc>
      </w:tr>
      <w:tr>
        <w:trPr>
          <w:trHeight w:val="234"/>
        </w:trPr>
        <w:tc>
          <w:tcPr>
            <w:tcW w:w="8760" w:type="dxa"/>
            <w:vAlign w:val="bottom"/>
            <w:tcBorders>
              <w:bottom w:val="single" w:sz="8" w:color="auto"/>
            </w:tcBorders>
          </w:tcPr>
          <w:p>
            <w:pPr>
              <w:ind w:left="80"/>
              <w:spacing w:after="0"/>
              <w:rPr>
                <w:sz w:val="20"/>
                <w:szCs w:val="20"/>
                <w:color w:val="auto"/>
              </w:rPr>
            </w:pPr>
            <w:r>
              <w:rPr>
                <w:rFonts w:ascii="Arial" w:cs="Arial" w:eastAsia="Arial" w:hAnsi="Arial"/>
                <w:sz w:val="20"/>
                <w:szCs w:val="20"/>
                <w:b w:val="1"/>
                <w:bCs w:val="1"/>
                <w:color w:val="00A1DF"/>
              </w:rPr>
              <w:t>Adjusted automotive free cash flow (for incentive compensation purposes)</w:t>
            </w:r>
          </w:p>
        </w:tc>
        <w:tc>
          <w:tcPr>
            <w:tcW w:w="21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00A1DF"/>
              </w:rPr>
              <w:t>$ 1.3</w:t>
            </w:r>
          </w:p>
        </w:tc>
      </w:tr>
    </w:tbl>
    <w:p>
      <w:pPr>
        <w:spacing w:after="0" w:line="48" w:lineRule="exact"/>
        <w:rPr>
          <w:sz w:val="20"/>
          <w:szCs w:val="20"/>
          <w:color w:val="auto"/>
        </w:rPr>
      </w:pPr>
    </w:p>
    <w:p>
      <w:pPr>
        <w:ind w:left="160" w:right="4300" w:firstLine="7"/>
        <w:spacing w:after="0" w:line="322" w:lineRule="auto"/>
        <w:tabs>
          <w:tab w:leader="none" w:pos="588" w:val="left"/>
        </w:tabs>
        <w:numPr>
          <w:ilvl w:val="0"/>
          <w:numId w:val="171"/>
        </w:numPr>
        <w:rPr>
          <w:rFonts w:ascii="Arial" w:cs="Arial" w:eastAsia="Arial" w:hAnsi="Arial"/>
          <w:sz w:val="18"/>
          <w:szCs w:val="18"/>
          <w:i w:val="1"/>
          <w:iCs w:val="1"/>
          <w:color w:val="auto"/>
        </w:rPr>
      </w:pPr>
      <w:r>
        <w:rPr>
          <w:rFonts w:ascii="Arial" w:cs="Arial" w:eastAsia="Arial" w:hAnsi="Arial"/>
          <w:sz w:val="18"/>
          <w:szCs w:val="18"/>
          <w:i w:val="1"/>
          <w:iCs w:val="1"/>
          <w:color w:val="auto"/>
        </w:rPr>
        <w:t>Reflects certain recall-related expenses attributable to events occurring in 2014. Note: Amounts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41275</wp:posOffset>
            </wp:positionV>
            <wp:extent cx="6793865" cy="1016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A-3</w:t>
      </w:r>
    </w:p>
    <w:p>
      <w:pPr>
        <w:sectPr>
          <w:pgSz w:w="11900" w:h="16838" w:orient="portrait"/>
          <w:cols w:equalWidth="0" w:num="1">
            <w:col w:w="11180"/>
          </w:cols>
          <w:pgMar w:left="320" w:top="456"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68" w:lineRule="exact"/>
        <w:rPr>
          <w:sz w:val="20"/>
          <w:szCs w:val="20"/>
          <w:color w:val="auto"/>
        </w:rPr>
      </w:pPr>
    </w:p>
    <w:p>
      <w:pPr>
        <w:ind w:left="2660" w:right="2140" w:hanging="2498"/>
        <w:spacing w:after="0" w:line="281" w:lineRule="auto"/>
        <w:rPr>
          <w:sz w:val="20"/>
          <w:szCs w:val="20"/>
          <w:color w:val="auto"/>
        </w:rPr>
      </w:pPr>
      <w:r>
        <w:rPr>
          <w:rFonts w:ascii="Arial" w:cs="Arial" w:eastAsia="Arial" w:hAnsi="Arial"/>
          <w:sz w:val="37"/>
          <w:szCs w:val="37"/>
          <w:b w:val="1"/>
          <w:bCs w:val="1"/>
          <w:color w:val="00A1DF"/>
        </w:rPr>
        <w:t xml:space="preserve">APPENDIX B: </w:t>
      </w:r>
      <w:r>
        <w:rPr>
          <w:rFonts w:ascii="Arial" w:cs="Arial" w:eastAsia="Arial" w:hAnsi="Arial"/>
          <w:sz w:val="37"/>
          <w:szCs w:val="37"/>
          <w:color w:val="0033A0"/>
        </w:rPr>
        <w:t>GENERAL MOTORS COMPANY</w:t>
      </w:r>
      <w:r>
        <w:rPr>
          <w:rFonts w:ascii="Arial" w:cs="Arial" w:eastAsia="Arial" w:hAnsi="Arial"/>
          <w:sz w:val="37"/>
          <w:szCs w:val="37"/>
          <w:b w:val="1"/>
          <w:bCs w:val="1"/>
          <w:color w:val="00A1DF"/>
        </w:rPr>
        <w:t xml:space="preserve"> </w:t>
      </w:r>
      <w:r>
        <w:rPr>
          <w:rFonts w:ascii="Arial" w:cs="Arial" w:eastAsia="Arial" w:hAnsi="Arial"/>
          <w:sz w:val="37"/>
          <w:szCs w:val="37"/>
          <w:color w:val="0033A0"/>
        </w:rPr>
        <w:t>2020 LONG-TERM INCENTIVE PLAN</w:t>
      </w:r>
    </w:p>
    <w:p>
      <w:pPr>
        <w:spacing w:after="0" w:line="177" w:lineRule="exact"/>
        <w:rPr>
          <w:sz w:val="20"/>
          <w:szCs w:val="20"/>
          <w:color w:val="auto"/>
        </w:rPr>
      </w:pPr>
    </w:p>
    <w:p>
      <w:pPr>
        <w:jc w:val="both"/>
        <w:ind w:left="160" w:right="100"/>
        <w:spacing w:after="0" w:line="232"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i w:val="1"/>
          <w:iCs w:val="1"/>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The purpose of the General Motors Company 2020 Long-Term Incentive Plan (as amended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time, the “</w:t>
      </w:r>
      <w:r>
        <w:rPr>
          <w:rFonts w:ascii="Arial" w:cs="Arial" w:eastAsia="Arial" w:hAnsi="Arial"/>
          <w:sz w:val="20"/>
          <w:szCs w:val="20"/>
          <w:b w:val="1"/>
          <w:bCs w:val="1"/>
          <w:color w:val="auto"/>
        </w:rPr>
        <w:t>Plan</w:t>
      </w:r>
      <w:r>
        <w:rPr>
          <w:rFonts w:ascii="Arial" w:cs="Arial" w:eastAsia="Arial" w:hAnsi="Arial"/>
          <w:sz w:val="20"/>
          <w:szCs w:val="20"/>
          <w:color w:val="auto"/>
        </w:rPr>
        <w:t>”) is to incentivize selected employees, consultants, advisors and non-employee directors of General Motors Company (the “</w:t>
      </w:r>
      <w:r>
        <w:rPr>
          <w:rFonts w:ascii="Arial" w:cs="Arial" w:eastAsia="Arial" w:hAnsi="Arial"/>
          <w:sz w:val="20"/>
          <w:szCs w:val="20"/>
          <w:b w:val="1"/>
          <w:bCs w:val="1"/>
          <w:color w:val="auto"/>
        </w:rPr>
        <w:t>Company</w:t>
      </w:r>
      <w:r>
        <w:rPr>
          <w:rFonts w:ascii="Arial" w:cs="Arial" w:eastAsia="Arial" w:hAnsi="Arial"/>
          <w:sz w:val="20"/>
          <w:szCs w:val="20"/>
          <w:color w:val="auto"/>
        </w:rPr>
        <w:t>”) and its Subsidiaries and to align their interests with those of the Company’s stockholders. However, nothing in this Plan or any Award granted pursuant to this Plan shall be interpreted to create or establish an employment relationship between the Company and any Participant.</w:t>
      </w:r>
    </w:p>
    <w:p>
      <w:pPr>
        <w:spacing w:after="0" w:line="132" w:lineRule="exact"/>
        <w:rPr>
          <w:sz w:val="20"/>
          <w:szCs w:val="20"/>
          <w:color w:val="auto"/>
        </w:rPr>
      </w:pPr>
    </w:p>
    <w:p>
      <w:pPr>
        <w:jc w:val="both"/>
        <w:ind w:left="160" w:right="100"/>
        <w:spacing w:after="0" w:line="254"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i w:val="1"/>
          <w:iCs w:val="1"/>
          <w:color w:val="auto"/>
        </w:rPr>
        <w:t>Definitions</w:t>
      </w:r>
      <w:r>
        <w:rPr>
          <w:rFonts w:ascii="Arial" w:cs="Arial" w:eastAsia="Arial" w:hAnsi="Arial"/>
          <w:sz w:val="20"/>
          <w:szCs w:val="20"/>
          <w:color w:val="auto"/>
        </w:rPr>
        <w:t>. As used in the Plan, and unless otherwise specified in an applicable Award Document,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terms shall have the meanings set forth below:</w:t>
      </w:r>
    </w:p>
    <w:p>
      <w:pPr>
        <w:spacing w:after="0" w:line="48" w:lineRule="exact"/>
        <w:rPr>
          <w:sz w:val="20"/>
          <w:szCs w:val="20"/>
          <w:color w:val="auto"/>
        </w:rPr>
      </w:pPr>
    </w:p>
    <w:p>
      <w:pPr>
        <w:ind w:left="160" w:right="100" w:firstLine="7"/>
        <w:spacing w:after="0" w:line="254" w:lineRule="auto"/>
        <w:tabs>
          <w:tab w:leader="none" w:pos="49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w:t>
      </w:r>
      <w:r>
        <w:rPr>
          <w:rFonts w:ascii="Arial" w:cs="Arial" w:eastAsia="Arial" w:hAnsi="Arial"/>
          <w:sz w:val="20"/>
          <w:szCs w:val="20"/>
          <w:color w:val="auto"/>
        </w:rPr>
        <w:t>” means any Option, SAR, Restricted Stock, RSU, Performance Award, Other Stock-Based Award or cash incentive award granted under the Plan.</w:t>
      </w:r>
    </w:p>
    <w:p>
      <w:pPr>
        <w:spacing w:after="0" w:line="48" w:lineRule="exact"/>
        <w:rPr>
          <w:rFonts w:ascii="Arial" w:cs="Arial" w:eastAsia="Arial" w:hAnsi="Arial"/>
          <w:sz w:val="20"/>
          <w:szCs w:val="20"/>
          <w:color w:val="auto"/>
        </w:rPr>
      </w:pPr>
    </w:p>
    <w:p>
      <w:pPr>
        <w:jc w:val="both"/>
        <w:ind w:left="160" w:right="100" w:firstLine="7"/>
        <w:spacing w:after="0" w:line="239" w:lineRule="auto"/>
        <w:tabs>
          <w:tab w:leader="none" w:pos="45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 Document</w:t>
      </w:r>
      <w:r>
        <w:rPr>
          <w:rFonts w:ascii="Arial" w:cs="Arial" w:eastAsia="Arial" w:hAnsi="Arial"/>
          <w:sz w:val="20"/>
          <w:szCs w:val="20"/>
          <w:color w:val="auto"/>
        </w:rPr>
        <w:t>” means any appropriately authorized agreement, contract or other instrument or document evidencing any Award granted under the Plan, whether in electronic form or otherwise, which must be duly executed or acknowledged by a Participant (unless otherwise specifically provided by the Company).</w:t>
      </w:r>
    </w:p>
    <w:p>
      <w:pPr>
        <w:spacing w:after="0" w:line="61" w:lineRule="exact"/>
        <w:rPr>
          <w:rFonts w:ascii="Arial" w:cs="Arial" w:eastAsia="Arial" w:hAnsi="Arial"/>
          <w:sz w:val="20"/>
          <w:szCs w:val="20"/>
          <w:color w:val="auto"/>
        </w:rPr>
      </w:pPr>
    </w:p>
    <w:p>
      <w:pPr>
        <w:ind w:left="160" w:right="100" w:firstLine="7"/>
        <w:spacing w:after="0" w:line="254" w:lineRule="auto"/>
        <w:tabs>
          <w:tab w:leader="none" w:pos="44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Beneficiary</w:t>
      </w:r>
      <w:r>
        <w:rPr>
          <w:rFonts w:ascii="Arial" w:cs="Arial" w:eastAsia="Arial" w:hAnsi="Arial"/>
          <w:sz w:val="20"/>
          <w:szCs w:val="20"/>
          <w:color w:val="auto"/>
        </w:rPr>
        <w:t>” means a person designated by a Participant to receive payments or other benefits or exercise rights that are available under the Plan in the event of the Participant’s death pursuant to Section 14(f).</w:t>
      </w:r>
    </w:p>
    <w:p>
      <w:pPr>
        <w:spacing w:after="0" w:line="48" w:lineRule="exact"/>
        <w:rPr>
          <w:rFonts w:ascii="Arial" w:cs="Arial" w:eastAsia="Arial" w:hAnsi="Arial"/>
          <w:sz w:val="20"/>
          <w:szCs w:val="20"/>
          <w:color w:val="auto"/>
        </w:rPr>
      </w:pPr>
    </w:p>
    <w:p>
      <w:pPr>
        <w:ind w:left="460" w:hanging="293"/>
        <w:spacing w:after="0"/>
        <w:tabs>
          <w:tab w:leader="none" w:pos="46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90" w:lineRule="exact"/>
        <w:rPr>
          <w:rFonts w:ascii="Arial" w:cs="Arial" w:eastAsia="Arial" w:hAnsi="Arial"/>
          <w:sz w:val="20"/>
          <w:szCs w:val="20"/>
          <w:color w:val="auto"/>
        </w:rPr>
      </w:pPr>
    </w:p>
    <w:p>
      <w:pPr>
        <w:ind w:left="160" w:right="100" w:firstLine="7"/>
        <w:spacing w:after="0" w:line="254" w:lineRule="auto"/>
        <w:tabs>
          <w:tab w:leader="none" w:pos="48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means, with respect to any Participant, any of the following unless explicitly excluded by such Participant’s applicable Award Document, and any additional grounds as may be set forth in such Award Document:</w:t>
      </w:r>
    </w:p>
    <w:p>
      <w:pPr>
        <w:spacing w:after="0" w:line="72" w:lineRule="exact"/>
        <w:rPr>
          <w:rFonts w:ascii="Arial" w:cs="Arial" w:eastAsia="Arial" w:hAnsi="Arial"/>
          <w:sz w:val="20"/>
          <w:szCs w:val="20"/>
          <w:color w:val="auto"/>
        </w:rPr>
      </w:pPr>
    </w:p>
    <w:p>
      <w:pPr>
        <w:ind w:left="820" w:right="120" w:firstLine="2"/>
        <w:spacing w:after="0" w:line="234" w:lineRule="auto"/>
        <w:tabs>
          <w:tab w:leader="none" w:pos="106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Participant’s commission of, or plea of guilty or no contest to, a felony or comparable local charge in non-U.S. jurisdictions;</w:t>
      </w:r>
    </w:p>
    <w:p>
      <w:pPr>
        <w:spacing w:after="0" w:line="86" w:lineRule="exact"/>
        <w:rPr>
          <w:rFonts w:ascii="Arial" w:cs="Arial" w:eastAsia="Arial" w:hAnsi="Arial"/>
          <w:sz w:val="20"/>
          <w:szCs w:val="20"/>
          <w:color w:val="auto"/>
        </w:rPr>
      </w:pPr>
    </w:p>
    <w:p>
      <w:pPr>
        <w:ind w:left="820" w:right="100" w:firstLine="2"/>
        <w:spacing w:after="0" w:line="234" w:lineRule="auto"/>
        <w:tabs>
          <w:tab w:leader="none" w:pos="1119"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Participant’s gross negligence or willful misconduct that is materially injurious to the Company or any of its Subsidiaries; or</w:t>
      </w:r>
    </w:p>
    <w:p>
      <w:pPr>
        <w:spacing w:after="0" w:line="86" w:lineRule="exact"/>
        <w:rPr>
          <w:rFonts w:ascii="Arial" w:cs="Arial" w:eastAsia="Arial" w:hAnsi="Arial"/>
          <w:sz w:val="20"/>
          <w:szCs w:val="20"/>
          <w:color w:val="auto"/>
        </w:rPr>
      </w:pPr>
    </w:p>
    <w:p>
      <w:pPr>
        <w:ind w:left="1140" w:hanging="318"/>
        <w:spacing w:after="0"/>
        <w:tabs>
          <w:tab w:leader="none" w:pos="114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Participant’s material violation of state or federal securities laws.</w:t>
      </w:r>
    </w:p>
    <w:p>
      <w:pPr>
        <w:spacing w:after="0" w:line="66" w:lineRule="exact"/>
        <w:rPr>
          <w:rFonts w:ascii="Arial" w:cs="Arial" w:eastAsia="Arial" w:hAnsi="Arial"/>
          <w:sz w:val="20"/>
          <w:szCs w:val="20"/>
          <w:color w:val="auto"/>
        </w:rPr>
      </w:pPr>
    </w:p>
    <w:p>
      <w:pPr>
        <w:ind w:left="400" w:hanging="233"/>
        <w:spacing w:after="0"/>
        <w:tabs>
          <w:tab w:leader="none" w:pos="4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of any one or more of the following events:</w:t>
      </w:r>
    </w:p>
    <w:p>
      <w:pPr>
        <w:spacing w:after="0" w:line="114" w:lineRule="exact"/>
        <w:rPr>
          <w:rFonts w:ascii="Arial" w:cs="Arial" w:eastAsia="Arial" w:hAnsi="Arial"/>
          <w:sz w:val="20"/>
          <w:szCs w:val="20"/>
          <w:color w:val="auto"/>
        </w:rPr>
      </w:pPr>
    </w:p>
    <w:p>
      <w:pPr>
        <w:jc w:val="both"/>
        <w:ind w:left="820" w:right="100" w:firstLine="2"/>
        <w:spacing w:after="0" w:line="225" w:lineRule="auto"/>
        <w:tabs>
          <w:tab w:leader="none" w:pos="1094" w:val="left"/>
        </w:tabs>
        <w:numPr>
          <w:ilvl w:val="1"/>
          <w:numId w:val="172"/>
        </w:numPr>
        <w:rPr>
          <w:rFonts w:ascii="Arial" w:cs="Arial" w:eastAsia="Arial" w:hAnsi="Arial"/>
          <w:sz w:val="20"/>
          <w:szCs w:val="20"/>
          <w:color w:val="auto"/>
        </w:rPr>
      </w:pPr>
      <w:r>
        <w:rPr>
          <w:rFonts w:ascii="Arial" w:cs="Arial" w:eastAsia="Arial" w:hAnsi="Arial"/>
          <w:sz w:val="20"/>
          <w:szCs w:val="20"/>
          <w:color w:val="auto"/>
        </w:rPr>
        <w:t xml:space="preserve">any Person other than an Excluded Person, directly or indirectly, becomes the “beneficial owner” (within the meaning of Rule 13d-3 under the Exchange Act) of securities of the Company constituting more than 40 percent of the total combined voting power of the Company’s Voting Securities outstanding;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20"/>
          <w:szCs w:val="20"/>
          <w:i w:val="1"/>
          <w:iCs w:val="1"/>
          <w:color w:val="auto"/>
        </w:rPr>
        <w:t>provided further</w:t>
      </w:r>
      <w:r>
        <w:rPr>
          <w:rFonts w:ascii="Arial" w:cs="Arial" w:eastAsia="Arial" w:hAnsi="Arial"/>
          <w:sz w:val="20"/>
          <w:szCs w:val="20"/>
          <w:color w:val="auto"/>
        </w:rPr>
        <w:t>, that if such Person subsequently acquires beneficial ownership of additional Voting Securities of the Company (other than from the Company), such subsequent acquisition shall result in a Change in Control if such Person’s beneficial ownership of the Company’s Voting Securities immediately following such acquisition exceeds 40 percent of the total combined voting power of the Company’s outstanding Voting Securities;</w:t>
      </w:r>
    </w:p>
    <w:p>
      <w:pPr>
        <w:spacing w:after="0" w:line="90" w:lineRule="exact"/>
        <w:rPr>
          <w:rFonts w:ascii="Arial" w:cs="Arial" w:eastAsia="Arial" w:hAnsi="Arial"/>
          <w:sz w:val="20"/>
          <w:szCs w:val="20"/>
          <w:color w:val="auto"/>
        </w:rPr>
      </w:pPr>
    </w:p>
    <w:p>
      <w:pPr>
        <w:jc w:val="both"/>
        <w:ind w:left="820" w:right="100" w:firstLine="2"/>
        <w:spacing w:after="0" w:line="227" w:lineRule="auto"/>
        <w:tabs>
          <w:tab w:leader="none" w:pos="1103"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(the “Incumbent Board”), cease for any reason to constitute a majority of members of the Board; provided that no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793865" cy="1016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w:t>
      </w:r>
    </w:p>
    <w:p>
      <w:pPr>
        <w:sectPr>
          <w:pgSz w:w="11900" w:h="16838" w:orient="portrait"/>
          <w:cols w:equalWidth="0" w:num="1">
            <w:col w:w="11180"/>
          </w:cols>
          <w:pgMar w:left="320" w:top="456" w:right="3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820" w:right="60"/>
        <w:spacing w:after="0" w:line="228" w:lineRule="auto"/>
        <w:rPr>
          <w:sz w:val="20"/>
          <w:szCs w:val="20"/>
          <w:color w:val="auto"/>
        </w:rPr>
      </w:pPr>
      <w:r>
        <w:rPr>
          <w:rFonts w:ascii="Arial" w:cs="Arial" w:eastAsia="Arial" w:hAnsi="Arial"/>
          <w:sz w:val="20"/>
          <w:szCs w:val="20"/>
          <w:color w:val="auto"/>
        </w:rPr>
        <w:t>initially elected or nominated as a director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89" w:lineRule="exact"/>
        <w:rPr>
          <w:sz w:val="20"/>
          <w:szCs w:val="20"/>
          <w:color w:val="auto"/>
        </w:rPr>
      </w:pPr>
    </w:p>
    <w:p>
      <w:pPr>
        <w:jc w:val="both"/>
        <w:ind w:left="820" w:right="60" w:firstLine="2"/>
        <w:spacing w:after="0" w:line="226" w:lineRule="auto"/>
        <w:tabs>
          <w:tab w:leader="none" w:pos="114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86" w:lineRule="exact"/>
        <w:rPr>
          <w:rFonts w:ascii="Arial" w:cs="Arial" w:eastAsia="Arial" w:hAnsi="Arial"/>
          <w:sz w:val="20"/>
          <w:szCs w:val="20"/>
          <w:color w:val="auto"/>
        </w:rPr>
      </w:pPr>
    </w:p>
    <w:p>
      <w:pPr>
        <w:jc w:val="both"/>
        <w:ind w:left="820" w:right="60" w:firstLine="2"/>
        <w:spacing w:after="0" w:line="228" w:lineRule="auto"/>
        <w:tabs>
          <w:tab w:leader="none" w:pos="1149"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pacing w:after="0" w:line="156" w:lineRule="exact"/>
        <w:rPr>
          <w:sz w:val="20"/>
          <w:szCs w:val="20"/>
          <w:color w:val="auto"/>
        </w:rPr>
      </w:pPr>
    </w:p>
    <w:p>
      <w:pPr>
        <w:jc w:val="both"/>
        <w:ind w:left="160" w:right="60"/>
        <w:spacing w:after="0" w:line="239" w:lineRule="auto"/>
        <w:rPr>
          <w:sz w:val="20"/>
          <w:szCs w:val="20"/>
          <w:color w:val="auto"/>
        </w:rPr>
      </w:pPr>
      <w:r>
        <w:rPr>
          <w:rFonts w:ascii="Arial" w:cs="Arial" w:eastAsia="Arial" w:hAnsi="Arial"/>
          <w:sz w:val="19"/>
          <w:szCs w:val="19"/>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within the meaning of Section 409A of the Code.</w:t>
      </w:r>
    </w:p>
    <w:p>
      <w:pPr>
        <w:spacing w:after="0" w:line="145" w:lineRule="exact"/>
        <w:rPr>
          <w:sz w:val="20"/>
          <w:szCs w:val="20"/>
          <w:color w:val="auto"/>
        </w:rPr>
      </w:pPr>
    </w:p>
    <w:p>
      <w:pPr>
        <w:ind w:left="160" w:right="60" w:firstLine="7"/>
        <w:spacing w:after="0" w:line="254" w:lineRule="auto"/>
        <w:tabs>
          <w:tab w:leader="none" w:pos="45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and the rules, regulations and guidance thereunder. Any reference to a provision in the Code shall include any successor provision thereto.</w:t>
      </w:r>
    </w:p>
    <w:p>
      <w:pPr>
        <w:spacing w:after="0" w:line="115" w:lineRule="exact"/>
        <w:rPr>
          <w:rFonts w:ascii="Arial" w:cs="Arial" w:eastAsia="Arial" w:hAnsi="Arial"/>
          <w:sz w:val="20"/>
          <w:szCs w:val="20"/>
          <w:color w:val="auto"/>
        </w:rPr>
      </w:pPr>
    </w:p>
    <w:p>
      <w:pPr>
        <w:ind w:left="160" w:right="60" w:firstLine="7"/>
        <w:spacing w:after="0" w:line="280" w:lineRule="auto"/>
        <w:tabs>
          <w:tab w:leader="none" w:pos="45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Executive Compensation Committee of the Board or such other independent committee as may be designated by the Board to perform any functions of the Executive Compensation Committee with respect to this Plan.</w:t>
      </w:r>
    </w:p>
    <w:p>
      <w:pPr>
        <w:spacing w:after="0" w:line="92" w:lineRule="exact"/>
        <w:rPr>
          <w:rFonts w:ascii="Arial" w:cs="Arial" w:eastAsia="Arial" w:hAnsi="Arial"/>
          <w:sz w:val="19"/>
          <w:szCs w:val="19"/>
          <w:color w:val="auto"/>
        </w:rPr>
      </w:pPr>
    </w:p>
    <w:p>
      <w:pPr>
        <w:jc w:val="both"/>
        <w:ind w:left="160" w:right="60" w:firstLine="7"/>
        <w:spacing w:after="0" w:line="239" w:lineRule="auto"/>
        <w:tabs>
          <w:tab w:leader="none" w:pos="38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Disability</w:t>
      </w:r>
      <w:r>
        <w:rPr>
          <w:rFonts w:ascii="Arial" w:cs="Arial" w:eastAsia="Arial" w:hAnsi="Arial"/>
          <w:sz w:val="20"/>
          <w:szCs w:val="20"/>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42" w:lineRule="exact"/>
        <w:rPr>
          <w:rFonts w:ascii="Arial" w:cs="Arial" w:eastAsia="Arial" w:hAnsi="Arial"/>
          <w:sz w:val="20"/>
          <w:szCs w:val="20"/>
          <w:color w:val="auto"/>
        </w:rPr>
      </w:pPr>
    </w:p>
    <w:p>
      <w:pPr>
        <w:ind w:left="400" w:hanging="233"/>
        <w:spacing w:after="0"/>
        <w:tabs>
          <w:tab w:leader="none" w:pos="4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June 17, 2020.</w:t>
      </w:r>
    </w:p>
    <w:p>
      <w:pPr>
        <w:spacing w:after="0" w:line="157" w:lineRule="exact"/>
        <w:rPr>
          <w:rFonts w:ascii="Arial" w:cs="Arial" w:eastAsia="Arial" w:hAnsi="Arial"/>
          <w:sz w:val="20"/>
          <w:szCs w:val="20"/>
          <w:color w:val="auto"/>
        </w:rPr>
      </w:pPr>
    </w:p>
    <w:p>
      <w:pPr>
        <w:ind w:left="160" w:right="60" w:firstLine="7"/>
        <w:spacing w:after="0" w:line="254" w:lineRule="auto"/>
        <w:tabs>
          <w:tab w:leader="none" w:pos="45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15" w:lineRule="exact"/>
        <w:rPr>
          <w:rFonts w:ascii="Arial" w:cs="Arial" w:eastAsia="Arial" w:hAnsi="Arial"/>
          <w:sz w:val="20"/>
          <w:szCs w:val="20"/>
          <w:color w:val="auto"/>
        </w:rPr>
      </w:pPr>
    </w:p>
    <w:p>
      <w:pPr>
        <w:jc w:val="both"/>
        <w:ind w:left="160" w:right="60" w:firstLine="7"/>
        <w:spacing w:after="0" w:line="235" w:lineRule="auto"/>
        <w:tabs>
          <w:tab w:leader="none" w:pos="40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Person</w:t>
      </w:r>
      <w:r>
        <w:rPr>
          <w:rFonts w:ascii="Arial" w:cs="Arial" w:eastAsia="Arial" w:hAnsi="Arial"/>
          <w:sz w:val="20"/>
          <w:szCs w:val="20"/>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employee benefit plan described in clause (iv).</w:t>
      </w:r>
    </w:p>
    <w:p>
      <w:pPr>
        <w:spacing w:after="0" w:line="142" w:lineRule="exact"/>
        <w:rPr>
          <w:rFonts w:ascii="Arial" w:cs="Arial" w:eastAsia="Arial" w:hAnsi="Arial"/>
          <w:sz w:val="20"/>
          <w:szCs w:val="20"/>
          <w:color w:val="auto"/>
        </w:rPr>
      </w:pPr>
    </w:p>
    <w:p>
      <w:pPr>
        <w:jc w:val="both"/>
        <w:ind w:left="160" w:right="60" w:firstLine="7"/>
        <w:spacing w:after="0" w:line="239" w:lineRule="auto"/>
        <w:tabs>
          <w:tab w:leader="none" w:pos="508" w:val="left"/>
        </w:tabs>
        <w:numPr>
          <w:ilvl w:val="0"/>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Fair Market Value</w:t>
      </w:r>
      <w:r>
        <w:rPr>
          <w:rFonts w:ascii="Arial" w:cs="Arial" w:eastAsia="Arial" w:hAnsi="Arial"/>
          <w:sz w:val="20"/>
          <w:szCs w:val="20"/>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 traded, or if Shares are not so quoted or</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B-2 </w:t>
      </w:r>
      <w:r>
        <w:rPr>
          <w:sz w:val="1"/>
          <w:szCs w:val="1"/>
          <w:color w:val="auto"/>
        </w:rPr>
        <w:drawing>
          <wp:inline distT="0" distB="0" distL="0" distR="0">
            <wp:extent cx="6793865" cy="10160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100"/>
        <w:spacing w:after="0" w:line="230" w:lineRule="auto"/>
        <w:rPr>
          <w:sz w:val="20"/>
          <w:szCs w:val="20"/>
          <w:color w:val="auto"/>
        </w:rPr>
      </w:pPr>
      <w:r>
        <w:rPr>
          <w:rFonts w:ascii="Arial" w:cs="Arial" w:eastAsia="Arial" w:hAnsi="Arial"/>
          <w:sz w:val="20"/>
          <w:szCs w:val="20"/>
          <w:color w:val="auto"/>
        </w:rPr>
        <w:t>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131" w:lineRule="exact"/>
        <w:rPr>
          <w:sz w:val="20"/>
          <w:szCs w:val="20"/>
          <w:color w:val="auto"/>
        </w:rPr>
      </w:pPr>
    </w:p>
    <w:p>
      <w:pPr>
        <w:jc w:val="both"/>
        <w:ind w:left="160" w:right="100" w:firstLine="7"/>
        <w:spacing w:after="0" w:line="235" w:lineRule="auto"/>
        <w:tabs>
          <w:tab w:leader="none" w:pos="467"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Achievement of “</w:t>
      </w:r>
      <w:r>
        <w:rPr>
          <w:rFonts w:ascii="Arial" w:cs="Arial" w:eastAsia="Arial" w:hAnsi="Arial"/>
          <w:sz w:val="20"/>
          <w:szCs w:val="20"/>
          <w:b w:val="1"/>
          <w:bCs w:val="1"/>
          <w:color w:val="auto"/>
        </w:rPr>
        <w:t>Full Career Status</w:t>
      </w:r>
      <w:r>
        <w:rPr>
          <w:rFonts w:ascii="Arial" w:cs="Arial" w:eastAsia="Arial" w:hAnsi="Arial"/>
          <w:sz w:val="20"/>
          <w:szCs w:val="20"/>
          <w:color w:val="auto"/>
        </w:rPr>
        <w:t>” means a Participant’s voluntary Termination of Service (i) at the age of 55 or older with ten or more years of continuous service or (ii) at the age of 62 or older. The chief human resources officer of the Company (or such individual holding a comparable role in the event of a restructuring of positions or re-designation of titles) shall have the binding authority to determine how many years of continuous service a Participant has at any given time.</w:t>
      </w:r>
    </w:p>
    <w:p>
      <w:pPr>
        <w:spacing w:after="0" w:line="142" w:lineRule="exact"/>
        <w:rPr>
          <w:rFonts w:ascii="Arial" w:cs="Arial" w:eastAsia="Arial" w:hAnsi="Arial"/>
          <w:sz w:val="20"/>
          <w:szCs w:val="20"/>
          <w:color w:val="auto"/>
        </w:rPr>
      </w:pPr>
    </w:p>
    <w:p>
      <w:pPr>
        <w:jc w:val="both"/>
        <w:ind w:left="160" w:right="100" w:firstLine="7"/>
        <w:spacing w:after="0" w:line="235" w:lineRule="auto"/>
        <w:tabs>
          <w:tab w:leader="none" w:pos="467" w:val="left"/>
        </w:tabs>
        <w:numPr>
          <w:ilvl w:val="0"/>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Document and any additional grounds, as may be set forth in such Award Document:</w:t>
      </w:r>
    </w:p>
    <w:p>
      <w:pPr>
        <w:spacing w:after="0" w:line="153" w:lineRule="exact"/>
        <w:rPr>
          <w:rFonts w:ascii="Arial" w:cs="Arial" w:eastAsia="Arial" w:hAnsi="Arial"/>
          <w:sz w:val="20"/>
          <w:szCs w:val="20"/>
          <w:color w:val="auto"/>
        </w:rPr>
      </w:pPr>
    </w:p>
    <w:p>
      <w:pPr>
        <w:ind w:left="1060" w:hanging="238"/>
        <w:spacing w:after="0"/>
        <w:tabs>
          <w:tab w:leader="none" w:pos="106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 material reduction of such Participant’s base salary or target incentive compensation;</w:t>
      </w:r>
    </w:p>
    <w:p>
      <w:pPr>
        <w:spacing w:after="0" w:line="90" w:lineRule="exact"/>
        <w:rPr>
          <w:rFonts w:ascii="Arial" w:cs="Arial" w:eastAsia="Arial" w:hAnsi="Arial"/>
          <w:sz w:val="20"/>
          <w:szCs w:val="20"/>
          <w:color w:val="auto"/>
        </w:rPr>
      </w:pPr>
    </w:p>
    <w:p>
      <w:pPr>
        <w:ind w:left="820" w:right="120" w:firstLine="2"/>
        <w:spacing w:after="0" w:line="234" w:lineRule="auto"/>
        <w:tabs>
          <w:tab w:leader="none" w:pos="1125"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an involuntary relocation of the geographic location of such Participant’s principal place of employment (or for consultants or advisors, service) by more than 50 miles; or</w:t>
      </w:r>
    </w:p>
    <w:p>
      <w:pPr>
        <w:spacing w:after="0" w:line="86" w:lineRule="exact"/>
        <w:rPr>
          <w:rFonts w:ascii="Arial" w:cs="Arial" w:eastAsia="Arial" w:hAnsi="Arial"/>
          <w:sz w:val="20"/>
          <w:szCs w:val="20"/>
          <w:color w:val="auto"/>
        </w:rPr>
      </w:pPr>
    </w:p>
    <w:p>
      <w:pPr>
        <w:ind w:left="820" w:right="100" w:firstLine="2"/>
        <w:spacing w:after="0" w:line="234" w:lineRule="auto"/>
        <w:tabs>
          <w:tab w:leader="none" w:pos="1159" w:val="left"/>
        </w:tabs>
        <w:numPr>
          <w:ilvl w:val="1"/>
          <w:numId w:val="175"/>
        </w:numPr>
        <w:rPr>
          <w:rFonts w:ascii="Arial" w:cs="Arial" w:eastAsia="Arial" w:hAnsi="Arial"/>
          <w:sz w:val="20"/>
          <w:szCs w:val="20"/>
          <w:color w:val="auto"/>
        </w:rPr>
      </w:pPr>
      <w:r>
        <w:rPr>
          <w:rFonts w:ascii="Arial" w:cs="Arial" w:eastAsia="Arial" w:hAnsi="Arial"/>
          <w:sz w:val="20"/>
          <w:szCs w:val="20"/>
          <w:color w:val="auto"/>
        </w:rPr>
        <w:t>only for Participants who are executive officers of the Company covered by Section 16 of the Exchange Act, a material diminution of the Participant’s authority, duties, or responsibilities.</w:t>
      </w:r>
    </w:p>
    <w:p>
      <w:pPr>
        <w:spacing w:after="0" w:line="153" w:lineRule="exact"/>
        <w:rPr>
          <w:sz w:val="20"/>
          <w:szCs w:val="20"/>
          <w:color w:val="auto"/>
        </w:rPr>
      </w:pPr>
    </w:p>
    <w:p>
      <w:pPr>
        <w:jc w:val="both"/>
        <w:ind w:left="160" w:right="100"/>
        <w:spacing w:after="0" w:line="227" w:lineRule="auto"/>
        <w:rPr>
          <w:sz w:val="20"/>
          <w:szCs w:val="20"/>
          <w:color w:val="auto"/>
        </w:rPr>
      </w:pPr>
      <w:r>
        <w:rPr>
          <w:rFonts w:ascii="Arial" w:cs="Arial" w:eastAsia="Arial" w:hAnsi="Arial"/>
          <w:sz w:val="20"/>
          <w:szCs w:val="20"/>
          <w:color w:val="auto"/>
        </w:rPr>
        <w:t>In each case, if such Participant desires to terminate his or her employment or service with the Company or Subsidiary, as applicable, for Good Reason, he or she must first give written notice within 90 days of the initial existence of the facts and circumstances providing the basis for Good Reason to the Company or Subsidiary, as applicable, and allow the Company or Subsidiary, as applicable, 60 days 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142" w:lineRule="exact"/>
        <w:rPr>
          <w:sz w:val="20"/>
          <w:szCs w:val="20"/>
          <w:color w:val="auto"/>
        </w:rPr>
      </w:pPr>
    </w:p>
    <w:p>
      <w:pPr>
        <w:jc w:val="both"/>
        <w:ind w:left="160" w:right="100" w:firstLine="7"/>
        <w:spacing w:after="0" w:line="229" w:lineRule="auto"/>
        <w:tabs>
          <w:tab w:leader="none" w:pos="45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 Company</w:t>
      </w:r>
      <w:r>
        <w:rPr>
          <w:rFonts w:ascii="Arial" w:cs="Arial" w:eastAsia="Arial" w:hAnsi="Arial"/>
          <w:sz w:val="20"/>
          <w:szCs w:val="20"/>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pacing w:after="0" w:line="130" w:lineRule="exact"/>
        <w:rPr>
          <w:rFonts w:ascii="Arial" w:cs="Arial" w:eastAsia="Arial" w:hAnsi="Arial"/>
          <w:sz w:val="20"/>
          <w:szCs w:val="20"/>
          <w:color w:val="auto"/>
        </w:rPr>
      </w:pPr>
    </w:p>
    <w:p>
      <w:pPr>
        <w:ind w:left="160" w:right="120" w:firstLine="7"/>
        <w:spacing w:after="0" w:line="254" w:lineRule="auto"/>
        <w:tabs>
          <w:tab w:leader="none" w:pos="49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Stock Option</w:t>
      </w:r>
      <w:r>
        <w:rPr>
          <w:rFonts w:ascii="Arial" w:cs="Arial" w:eastAsia="Arial" w:hAnsi="Arial"/>
          <w:sz w:val="20"/>
          <w:szCs w:val="20"/>
          <w:color w:val="auto"/>
        </w:rPr>
        <w:t>” means an option representing the right to purchase Shares from the Company, granted pursuant to Section 6, that meets the requirements of Section 422 of the Code.</w:t>
      </w:r>
    </w:p>
    <w:p>
      <w:pPr>
        <w:spacing w:after="0" w:line="115" w:lineRule="exact"/>
        <w:rPr>
          <w:rFonts w:ascii="Arial" w:cs="Arial" w:eastAsia="Arial" w:hAnsi="Arial"/>
          <w:sz w:val="20"/>
          <w:szCs w:val="20"/>
          <w:color w:val="auto"/>
        </w:rPr>
      </w:pPr>
    </w:p>
    <w:p>
      <w:pPr>
        <w:ind w:left="420" w:hanging="253"/>
        <w:spacing w:after="0"/>
        <w:tabs>
          <w:tab w:leader="none" w:pos="4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Incumbent Board</w:t>
      </w:r>
      <w:r>
        <w:rPr>
          <w:rFonts w:ascii="Arial" w:cs="Arial" w:eastAsia="Arial" w:hAnsi="Arial"/>
          <w:sz w:val="20"/>
          <w:szCs w:val="20"/>
          <w:color w:val="auto"/>
        </w:rPr>
        <w:t>” has the meaning assigned to it in Section 2(f).</w:t>
      </w:r>
    </w:p>
    <w:p>
      <w:pPr>
        <w:spacing w:after="0" w:line="171" w:lineRule="exact"/>
        <w:rPr>
          <w:rFonts w:ascii="Arial" w:cs="Arial" w:eastAsia="Arial" w:hAnsi="Arial"/>
          <w:sz w:val="20"/>
          <w:szCs w:val="20"/>
          <w:color w:val="auto"/>
        </w:rPr>
      </w:pPr>
    </w:p>
    <w:p>
      <w:pPr>
        <w:ind w:left="160" w:right="100" w:firstLine="7"/>
        <w:spacing w:after="0" w:line="254" w:lineRule="auto"/>
        <w:tabs>
          <w:tab w:leader="none" w:pos="45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Non-Qualified Stock Option</w:t>
      </w:r>
      <w:r>
        <w:rPr>
          <w:rFonts w:ascii="Arial" w:cs="Arial" w:eastAsia="Arial" w:hAnsi="Arial"/>
          <w:sz w:val="20"/>
          <w:szCs w:val="20"/>
          <w:color w:val="auto"/>
        </w:rPr>
        <w:t>” means an option representing the right to purchase Shares from the Company, granted pursuant to Section 6, that is not an Incentive Stock Option.</w:t>
      </w:r>
    </w:p>
    <w:p>
      <w:pPr>
        <w:spacing w:after="0" w:line="115" w:lineRule="exact"/>
        <w:rPr>
          <w:rFonts w:ascii="Arial" w:cs="Arial" w:eastAsia="Arial" w:hAnsi="Arial"/>
          <w:sz w:val="20"/>
          <w:szCs w:val="20"/>
          <w:color w:val="auto"/>
        </w:rPr>
      </w:pPr>
    </w:p>
    <w:p>
      <w:pPr>
        <w:ind w:left="400" w:hanging="233"/>
        <w:spacing w:after="0"/>
        <w:tabs>
          <w:tab w:leader="none" w:pos="4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w:t>
      </w:r>
      <w:r>
        <w:rPr>
          <w:rFonts w:ascii="Arial" w:cs="Arial" w:eastAsia="Arial" w:hAnsi="Arial"/>
          <w:sz w:val="20"/>
          <w:szCs w:val="20"/>
          <w:color w:val="auto"/>
        </w:rPr>
        <w:t>” means an Incentive Stock Option or a Non-Qualified Stock Option granted pursuant to Section 6.</w:t>
      </w:r>
    </w:p>
    <w:p>
      <w:pPr>
        <w:spacing w:after="0" w:line="157" w:lineRule="exact"/>
        <w:rPr>
          <w:rFonts w:ascii="Arial" w:cs="Arial" w:eastAsia="Arial" w:hAnsi="Arial"/>
          <w:sz w:val="20"/>
          <w:szCs w:val="20"/>
          <w:color w:val="auto"/>
        </w:rPr>
      </w:pPr>
    </w:p>
    <w:p>
      <w:pPr>
        <w:ind w:left="460" w:hanging="293"/>
        <w:spacing w:after="0"/>
        <w:tabs>
          <w:tab w:leader="none" w:pos="46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Stock-Based Award</w:t>
      </w:r>
      <w:r>
        <w:rPr>
          <w:rFonts w:ascii="Arial" w:cs="Arial" w:eastAsia="Arial" w:hAnsi="Arial"/>
          <w:sz w:val="20"/>
          <w:szCs w:val="20"/>
          <w:color w:val="auto"/>
        </w:rPr>
        <w:t>” means an Award granted pursuant to Section 10.</w:t>
      </w:r>
    </w:p>
    <w:p>
      <w:pPr>
        <w:spacing w:after="0" w:line="171" w:lineRule="exact"/>
        <w:rPr>
          <w:rFonts w:ascii="Arial" w:cs="Arial" w:eastAsia="Arial" w:hAnsi="Arial"/>
          <w:sz w:val="20"/>
          <w:szCs w:val="20"/>
          <w:color w:val="auto"/>
        </w:rPr>
      </w:pPr>
    </w:p>
    <w:p>
      <w:pPr>
        <w:ind w:left="460" w:hanging="293"/>
        <w:spacing w:after="0"/>
        <w:tabs>
          <w:tab w:leader="none" w:pos="46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means the recipient of an Award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793865" cy="1016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B-3</w:t>
      </w:r>
    </w:p>
    <w:p>
      <w:pPr>
        <w:sectPr>
          <w:pgSz w:w="11900" w:h="16838" w:orient="portrait"/>
          <w:cols w:equalWidth="0" w:num="1">
            <w:col w:w="11180"/>
          </w:cols>
          <w:pgMar w:left="320" w:top="456"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ind w:left="500" w:hanging="333"/>
        <w:spacing w:after="0"/>
        <w:tabs>
          <w:tab w:leader="none" w:pos="5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Award</w:t>
      </w:r>
      <w:r>
        <w:rPr>
          <w:rFonts w:ascii="Arial" w:cs="Arial" w:eastAsia="Arial" w:hAnsi="Arial"/>
          <w:sz w:val="20"/>
          <w:szCs w:val="20"/>
          <w:color w:val="auto"/>
        </w:rPr>
        <w:t>” means an Award granted pursuant to Section 9.</w:t>
      </w:r>
    </w:p>
    <w:p>
      <w:pPr>
        <w:spacing w:after="0" w:line="157" w:lineRule="exact"/>
        <w:rPr>
          <w:rFonts w:ascii="Arial" w:cs="Arial" w:eastAsia="Arial" w:hAnsi="Arial"/>
          <w:sz w:val="20"/>
          <w:szCs w:val="20"/>
          <w:color w:val="auto"/>
        </w:rPr>
      </w:pPr>
    </w:p>
    <w:p>
      <w:pPr>
        <w:jc w:val="both"/>
        <w:ind w:left="160" w:right="60" w:firstLine="7"/>
        <w:spacing w:after="0" w:line="239" w:lineRule="auto"/>
        <w:tabs>
          <w:tab w:leader="none" w:pos="45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Period</w:t>
      </w:r>
      <w:r>
        <w:rPr>
          <w:rFonts w:ascii="Arial" w:cs="Arial" w:eastAsia="Arial" w:hAnsi="Arial"/>
          <w:sz w:val="20"/>
          <w:szCs w:val="20"/>
          <w:color w:val="auto"/>
        </w:rPr>
        <w:t>” means a period of one year (or such longer or shorter period established by the Committee from time to time) during which any performance goals specified by the Committee with respect to a Performance Award are measured.</w:t>
      </w:r>
    </w:p>
    <w:p>
      <w:pPr>
        <w:spacing w:after="0" w:line="142" w:lineRule="exact"/>
        <w:rPr>
          <w:rFonts w:ascii="Arial" w:cs="Arial" w:eastAsia="Arial" w:hAnsi="Arial"/>
          <w:sz w:val="20"/>
          <w:szCs w:val="20"/>
          <w:color w:val="auto"/>
        </w:rPr>
      </w:pPr>
    </w:p>
    <w:p>
      <w:pPr>
        <w:ind w:left="160" w:right="60" w:firstLine="7"/>
        <w:spacing w:after="0" w:line="254" w:lineRule="auto"/>
        <w:tabs>
          <w:tab w:leader="none" w:pos="47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or entity, including any two or more Persons deemed to be one “person” as used in Sections 13(d)(3) and 14(d)(2) of the Exchange Act.</w:t>
      </w:r>
    </w:p>
    <w:p>
      <w:pPr>
        <w:spacing w:after="0" w:line="115" w:lineRule="exact"/>
        <w:rPr>
          <w:rFonts w:ascii="Arial" w:cs="Arial" w:eastAsia="Arial" w:hAnsi="Arial"/>
          <w:sz w:val="20"/>
          <w:szCs w:val="20"/>
          <w:color w:val="auto"/>
        </w:rPr>
      </w:pPr>
    </w:p>
    <w:p>
      <w:pPr>
        <w:ind w:left="460" w:hanging="293"/>
        <w:spacing w:after="0"/>
        <w:tabs>
          <w:tab w:leader="none" w:pos="4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Stock</w:t>
      </w:r>
      <w:r>
        <w:rPr>
          <w:rFonts w:ascii="Arial" w:cs="Arial" w:eastAsia="Arial" w:hAnsi="Arial"/>
          <w:sz w:val="20"/>
          <w:szCs w:val="20"/>
          <w:color w:val="auto"/>
        </w:rPr>
        <w:t>” means any Share granted pursuant to Section 8.</w:t>
      </w:r>
    </w:p>
    <w:p>
      <w:pPr>
        <w:spacing w:after="0" w:line="158" w:lineRule="exact"/>
        <w:rPr>
          <w:sz w:val="20"/>
          <w:szCs w:val="20"/>
          <w:color w:val="auto"/>
        </w:rPr>
      </w:pPr>
    </w:p>
    <w:p>
      <w:pPr>
        <w:jc w:val="both"/>
        <w:ind w:left="160" w:right="60" w:firstLine="7"/>
        <w:spacing w:after="0" w:line="239" w:lineRule="auto"/>
        <w:tabs>
          <w:tab w:leader="none" w:pos="590"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“Restricted Stock Unit” or “RSU</w:t>
      </w:r>
      <w:r>
        <w:rPr>
          <w:rFonts w:ascii="Arial" w:cs="Arial" w:eastAsia="Arial" w:hAnsi="Arial"/>
          <w:sz w:val="20"/>
          <w:szCs w:val="20"/>
          <w:color w:val="auto"/>
        </w:rPr>
        <w:t>” means a contractual right granted pursuant to Section 8 that is denominated in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Each RSU represents a right to receive the value of one Share (or a percentage of such value) in cash, Shares or a combination thereof.</w:t>
      </w:r>
    </w:p>
    <w:p>
      <w:pPr>
        <w:spacing w:after="0" w:line="142" w:lineRule="exact"/>
        <w:rPr>
          <w:rFonts w:ascii="Arial" w:cs="Arial" w:eastAsia="Arial" w:hAnsi="Arial"/>
          <w:sz w:val="20"/>
          <w:szCs w:val="20"/>
          <w:color w:val="auto"/>
        </w:rPr>
      </w:pPr>
    </w:p>
    <w:p>
      <w:pPr>
        <w:ind w:left="580" w:hanging="413"/>
        <w:spacing w:after="0"/>
        <w:tabs>
          <w:tab w:leader="none" w:pos="5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shares of the Company’s common stock, $0.01 par value.</w:t>
      </w:r>
    </w:p>
    <w:p>
      <w:pPr>
        <w:spacing w:after="0" w:line="157" w:lineRule="exact"/>
        <w:rPr>
          <w:rFonts w:ascii="Arial" w:cs="Arial" w:eastAsia="Arial" w:hAnsi="Arial"/>
          <w:sz w:val="20"/>
          <w:szCs w:val="20"/>
          <w:color w:val="auto"/>
        </w:rPr>
      </w:pPr>
    </w:p>
    <w:p>
      <w:pPr>
        <w:jc w:val="both"/>
        <w:ind w:left="160" w:right="60" w:firstLine="7"/>
        <w:spacing w:after="0" w:line="239" w:lineRule="auto"/>
        <w:tabs>
          <w:tab w:leader="none" w:pos="541"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color w:val="auto"/>
        </w:rPr>
        <w:t>SAR</w:t>
      </w:r>
      <w:r>
        <w:rPr>
          <w:rFonts w:ascii="Arial" w:cs="Arial" w:eastAsia="Arial" w:hAnsi="Arial"/>
          <w:sz w:val="20"/>
          <w:szCs w:val="20"/>
          <w:color w:val="auto"/>
        </w:rPr>
        <w:t>” means a right granted pursuant to Section 7, denominated in Shares, that entitles the Participant within the exercise period to receive a payment (or a number of Shares with a value) equal to the increase in value between the exercise price and the Fair Market Value of the underlying Shares at the date of exercise.</w:t>
      </w:r>
    </w:p>
    <w:p>
      <w:pPr>
        <w:spacing w:after="0" w:line="128" w:lineRule="exact"/>
        <w:rPr>
          <w:rFonts w:ascii="Arial" w:cs="Arial" w:eastAsia="Arial" w:hAnsi="Arial"/>
          <w:sz w:val="20"/>
          <w:szCs w:val="20"/>
          <w:color w:val="auto"/>
        </w:rPr>
      </w:pPr>
    </w:p>
    <w:p>
      <w:pPr>
        <w:jc w:val="both"/>
        <w:ind w:left="160" w:right="60" w:firstLine="7"/>
        <w:spacing w:after="0" w:line="235" w:lineRule="auto"/>
        <w:tabs>
          <w:tab w:leader="none" w:pos="59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142" w:lineRule="exact"/>
        <w:rPr>
          <w:rFonts w:ascii="Arial" w:cs="Arial" w:eastAsia="Arial" w:hAnsi="Arial"/>
          <w:sz w:val="20"/>
          <w:szCs w:val="20"/>
          <w:color w:val="auto"/>
        </w:rPr>
      </w:pPr>
    </w:p>
    <w:p>
      <w:pPr>
        <w:jc w:val="both"/>
        <w:ind w:left="160" w:right="60" w:firstLine="7"/>
        <w:spacing w:after="0" w:line="227" w:lineRule="auto"/>
        <w:tabs>
          <w:tab w:leader="none" w:pos="617"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of Service</w:t>
      </w:r>
      <w:r>
        <w:rPr>
          <w:rFonts w:ascii="Arial" w:cs="Arial" w:eastAsia="Arial" w:hAnsi="Arial"/>
          <w:sz w:val="20"/>
          <w:szCs w:val="20"/>
          <w:color w:val="auto"/>
        </w:rPr>
        <w:t xml:space="preserve">” means, subject to Section 19, the cessation of a Participant’s employment or service relationship with the Company or a Subsidiary such that the Participant is determined by the Company to no longer be an employee, consultant or non-employee director of the Company or such Subsidiary, as applicable;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unless the Company determines otherwise, such cessation of the Participant’s employment or service relationship with the Company or a Subsidiary, where the Participant’s employment or services for the Company continues at another Subsidiary, or as a member of the Board, shall not be deemed a cessation of employment or service that would constitute a Termination of Service; </w:t>
      </w:r>
      <w:r>
        <w:rPr>
          <w:rFonts w:ascii="Arial" w:cs="Arial" w:eastAsia="Arial" w:hAnsi="Arial"/>
          <w:sz w:val="20"/>
          <w:szCs w:val="20"/>
          <w:i w:val="1"/>
          <w:iCs w:val="1"/>
          <w:color w:val="auto"/>
        </w:rPr>
        <w:t>provided, further</w:t>
      </w:r>
      <w:r>
        <w:rPr>
          <w:rFonts w:ascii="Arial" w:cs="Arial" w:eastAsia="Arial" w:hAnsi="Arial"/>
          <w:sz w:val="20"/>
          <w:szCs w:val="20"/>
          <w:color w:val="auto"/>
        </w:rPr>
        <w:t>, that a Termination of Service shall be deemed to occur for a Participant employed by or providing services to a Subsidiary when the Subsidiary ceases to be a Subsidiary unless such Participant’s employment or service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or service relationship with the Company or a Subsidiary.</w:t>
      </w:r>
    </w:p>
    <w:p>
      <w:pPr>
        <w:spacing w:after="0" w:line="131" w:lineRule="exact"/>
        <w:rPr>
          <w:rFonts w:ascii="Arial" w:cs="Arial" w:eastAsia="Arial" w:hAnsi="Arial"/>
          <w:sz w:val="20"/>
          <w:szCs w:val="20"/>
          <w:color w:val="auto"/>
        </w:rPr>
      </w:pPr>
    </w:p>
    <w:p>
      <w:pPr>
        <w:jc w:val="both"/>
        <w:ind w:left="160" w:right="60" w:firstLine="7"/>
        <w:spacing w:after="0" w:line="239" w:lineRule="auto"/>
        <w:tabs>
          <w:tab w:leader="none" w:pos="45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Securities</w:t>
      </w:r>
      <w:r>
        <w:rPr>
          <w:rFonts w:ascii="Arial" w:cs="Arial" w:eastAsia="Arial" w:hAnsi="Arial"/>
          <w:sz w:val="20"/>
          <w:szCs w:val="20"/>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129" w:lineRule="exact"/>
        <w:rPr>
          <w:sz w:val="20"/>
          <w:szCs w:val="20"/>
          <w:color w:val="auto"/>
        </w:rPr>
      </w:pPr>
    </w:p>
    <w:p>
      <w:pPr>
        <w:jc w:val="both"/>
        <w:ind w:left="160" w:right="60"/>
        <w:spacing w:after="0" w:line="235"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i w:val="1"/>
          <w:iCs w:val="1"/>
          <w:color w:val="auto"/>
        </w:rPr>
        <w:t>Eligibility.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individuals may be designated by the Committee as a Participant from time to time: (a)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who serves or is employed as an officer or other employee of the Company or any Subsidiary; (b) a consultant or advisor who provides services to the Company or a Subsidiary; and (c) a non-employee director of the Company. To participate in the Plan, consultants and advisors must meet the definition of employee under Form S-8.</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B-4 </w:t>
      </w:r>
      <w:r>
        <w:rPr>
          <w:sz w:val="1"/>
          <w:szCs w:val="1"/>
          <w:color w:val="auto"/>
        </w:rPr>
        <w:drawing>
          <wp:inline distT="0" distB="0" distL="0" distR="0">
            <wp:extent cx="6793865" cy="10160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i w:val="1"/>
          <w:iCs w:val="1"/>
          <w:color w:val="auto"/>
        </w:rPr>
        <w:t>Administration.</w:t>
      </w:r>
    </w:p>
    <w:p>
      <w:pPr>
        <w:spacing w:after="0" w:line="182" w:lineRule="exact"/>
        <w:rPr>
          <w:sz w:val="20"/>
          <w:szCs w:val="20"/>
          <w:color w:val="auto"/>
        </w:rPr>
      </w:pPr>
    </w:p>
    <w:p>
      <w:pPr>
        <w:jc w:val="both"/>
        <w:ind w:left="160" w:right="100" w:firstLine="7"/>
        <w:spacing w:after="0" w:line="227" w:lineRule="auto"/>
        <w:tabs>
          <w:tab w:leader="none" w:pos="47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Plan shall be administered by the Committee. All decisions of the Committee shall be final, conclusive and binding upon all parties, including the Company, its stockholders and Participants and any Beneficiaries thereof. To the extent permitted by applicable law, the Committee may delegate to one or more members of the Committee or officers of the Company authority to administer the Plan, such as the authority to grant Awards or take any other actions permitted under the Plan, within any limits established by the Committee. Subject to the immediately preceding sentence, the Committee may directly or through its delegate issue rules and regulations for administration of the Plan.</w:t>
      </w:r>
    </w:p>
    <w:p>
      <w:pPr>
        <w:spacing w:after="0" w:line="165" w:lineRule="exact"/>
        <w:rPr>
          <w:rFonts w:ascii="Arial" w:cs="Arial" w:eastAsia="Arial" w:hAnsi="Arial"/>
          <w:sz w:val="20"/>
          <w:szCs w:val="20"/>
          <w:color w:val="auto"/>
        </w:rPr>
      </w:pPr>
    </w:p>
    <w:p>
      <w:pPr>
        <w:jc w:val="both"/>
        <w:ind w:left="160" w:right="100" w:firstLine="7"/>
        <w:spacing w:after="0" w:line="228" w:lineRule="auto"/>
        <w:tabs>
          <w:tab w:leader="none" w:pos="482"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the Shares are quoted or traded; and (ii) non-employee directors within the meaning of Rule 16b-3 under the Exchange Act.</w:t>
      </w:r>
    </w:p>
    <w:p>
      <w:pPr>
        <w:spacing w:after="0" w:line="155" w:lineRule="exact"/>
        <w:rPr>
          <w:rFonts w:ascii="Arial" w:cs="Arial" w:eastAsia="Arial" w:hAnsi="Arial"/>
          <w:sz w:val="20"/>
          <w:szCs w:val="20"/>
          <w:color w:val="auto"/>
        </w:rPr>
      </w:pPr>
    </w:p>
    <w:p>
      <w:pPr>
        <w:jc w:val="both"/>
        <w:ind w:left="160" w:right="100" w:firstLine="7"/>
        <w:spacing w:after="0" w:line="235" w:lineRule="auto"/>
        <w:tabs>
          <w:tab w:leader="none" w:pos="44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Subject to applicable law, the terms of the Plan, including but not limited to Section 4(a),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w:t>
      </w:r>
    </w:p>
    <w:p>
      <w:pPr>
        <w:jc w:val="both"/>
        <w:ind w:left="160" w:right="100" w:firstLine="7"/>
        <w:spacing w:after="0" w:line="235" w:lineRule="auto"/>
        <w:tabs>
          <w:tab w:leader="none" w:pos="45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or any combination thereof, or cancelled, forfeited or suspended, and the method or methods by which Awards may be settled, exercised, cancelled,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determine under what circumstances the vesting of an Award shall occur; (viii) interpret and administer the Plan and any instrument or agreement relating to, or Award made under, the Plan; (ix) prescribe the form of each Award Document, which need not be identical for each Participant;</w:t>
      </w:r>
    </w:p>
    <w:p>
      <w:pPr>
        <w:jc w:val="both"/>
        <w:ind w:left="160" w:right="100" w:firstLine="7"/>
        <w:spacing w:after="0" w:line="226" w:lineRule="auto"/>
        <w:tabs>
          <w:tab w:leader="none" w:pos="45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(xi) make any other determination and take any other action that the Committee in its sole discretion deems necessary or desirable for the administration of the Plan and due compliance with applicable law, stock market or exchange rules and regulations or accounting or tax rules and regulations; and (xii) to construe, interpret and apply the provisions of this Plan.</w:t>
      </w:r>
    </w:p>
    <w:p>
      <w:pPr>
        <w:spacing w:after="0" w:line="155" w:lineRule="exact"/>
        <w:rPr>
          <w:rFonts w:ascii="Arial" w:cs="Arial" w:eastAsia="Arial" w:hAnsi="Arial"/>
          <w:sz w:val="20"/>
          <w:szCs w:val="20"/>
          <w:color w:val="auto"/>
        </w:rPr>
      </w:pPr>
    </w:p>
    <w:p>
      <w:pPr>
        <w:jc w:val="both"/>
        <w:ind w:left="160" w:right="100" w:firstLine="7"/>
        <w:spacing w:after="0" w:line="230" w:lineRule="auto"/>
        <w:tabs>
          <w:tab w:leader="none" w:pos="46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In addition to the conditions imposed by Section 11, the Committee or its delegate may impose restrictions on any Award at the time of grant in the applicable Award Document or by other action with respect to non-competition, confidentiality and other restrictive covenants as it deems necessary or appropriate.</w:t>
      </w:r>
    </w:p>
    <w:p>
      <w:pPr>
        <w:spacing w:after="0" w:line="167" w:lineRule="exact"/>
        <w:rPr>
          <w:rFonts w:ascii="Arial" w:cs="Arial" w:eastAsia="Arial" w:hAnsi="Arial"/>
          <w:sz w:val="20"/>
          <w:szCs w:val="20"/>
          <w:color w:val="auto"/>
        </w:rPr>
      </w:pPr>
    </w:p>
    <w:p>
      <w:pPr>
        <w:jc w:val="both"/>
        <w:ind w:left="160" w:right="100" w:firstLine="7"/>
        <w:spacing w:after="0" w:line="227" w:lineRule="auto"/>
        <w:tabs>
          <w:tab w:leader="none" w:pos="45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793865" cy="1016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B-5</w:t>
      </w:r>
    </w:p>
    <w:p>
      <w:pPr>
        <w:sectPr>
          <w:pgSz w:w="11900" w:h="16838" w:orient="portrait"/>
          <w:cols w:equalWidth="0" w:num="1">
            <w:col w:w="11180"/>
          </w:cols>
          <w:pgMar w:left="320" w:top="456" w:right="3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i w:val="1"/>
          <w:iCs w:val="1"/>
          <w:color w:val="auto"/>
        </w:rPr>
        <w:t>Shares Available for Awards.</w:t>
      </w:r>
    </w:p>
    <w:p>
      <w:pPr>
        <w:spacing w:after="0" w:line="115" w:lineRule="exact"/>
        <w:rPr>
          <w:sz w:val="20"/>
          <w:szCs w:val="20"/>
          <w:color w:val="auto"/>
        </w:rPr>
      </w:pPr>
    </w:p>
    <w:p>
      <w:pPr>
        <w:jc w:val="both"/>
        <w:ind w:left="160" w:right="60" w:firstLine="7"/>
        <w:spacing w:after="0" w:line="228" w:lineRule="auto"/>
        <w:tabs>
          <w:tab w:leader="none" w:pos="46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Subject to adjustment as provided in Section 5(c), the maximum number of Shares available for issuance under the Plan shall not exceed 50,000,000 Shares, with each Share subject to (or deliverable with respect to) an Option, SAR, RSU or any other Award reducing the number of Shares available for issuance under the Plan by one Share. The maximum number of Shares available for issuance under Incentive Stock Options shall be 50,000,000.</w:t>
      </w:r>
    </w:p>
    <w:p>
      <w:pPr>
        <w:spacing w:after="0" w:line="155" w:lineRule="exact"/>
        <w:rPr>
          <w:rFonts w:ascii="Arial" w:cs="Arial" w:eastAsia="Arial" w:hAnsi="Arial"/>
          <w:sz w:val="20"/>
          <w:szCs w:val="20"/>
          <w:color w:val="auto"/>
        </w:rPr>
      </w:pPr>
    </w:p>
    <w:p>
      <w:pPr>
        <w:jc w:val="both"/>
        <w:ind w:left="160" w:right="60" w:firstLine="7"/>
        <w:spacing w:after="0" w:line="227" w:lineRule="auto"/>
        <w:tabs>
          <w:tab w:leader="none" w:pos="47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Any Shares subject to an Award that expires, is cancelled, forfeited or otherwise terminates without the delivery of such Shares, including any Shares subject to an Award to the extent that Award is settled without the issuance of Shares, shall again be, or shall become, available for issuance under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(i) any Shares surrendered or withheld in payment of any grant, purchase, exercise price of an Award or taxes related to an Award, (ii) any Shares covered by a SAR that is exercised and settled in Shares and (iii) any Shares repurchased in the open market using stock option proceeds, shall not again be available for issuance under the Plan.</w:t>
      </w:r>
    </w:p>
    <w:p>
      <w:pPr>
        <w:spacing w:after="0" w:line="165" w:lineRule="exact"/>
        <w:rPr>
          <w:rFonts w:ascii="Arial" w:cs="Arial" w:eastAsia="Arial" w:hAnsi="Arial"/>
          <w:sz w:val="20"/>
          <w:szCs w:val="20"/>
          <w:color w:val="auto"/>
        </w:rPr>
      </w:pPr>
    </w:p>
    <w:p>
      <w:pPr>
        <w:jc w:val="both"/>
        <w:ind w:left="160" w:right="60" w:firstLine="7"/>
        <w:spacing w:after="0" w:line="226" w:lineRule="auto"/>
        <w:tabs>
          <w:tab w:leader="none" w:pos="459"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 the event that the Committee determines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 made available under the Plan, then the Committee shall adjust equitably any or all of:</w:t>
      </w:r>
    </w:p>
    <w:p>
      <w:pPr>
        <w:spacing w:after="0" w:line="153" w:lineRule="exact"/>
        <w:rPr>
          <w:rFonts w:ascii="Arial" w:cs="Arial" w:eastAsia="Arial" w:hAnsi="Arial"/>
          <w:sz w:val="20"/>
          <w:szCs w:val="20"/>
          <w:color w:val="auto"/>
        </w:rPr>
      </w:pPr>
    </w:p>
    <w:p>
      <w:pPr>
        <w:ind w:left="820" w:right="60" w:firstLine="2"/>
        <w:spacing w:after="0" w:line="234" w:lineRule="auto"/>
        <w:tabs>
          <w:tab w:leader="none" w:pos="1053" w:val="left"/>
        </w:tabs>
        <w:numPr>
          <w:ilvl w:val="1"/>
          <w:numId w:val="183"/>
        </w:numPr>
        <w:rPr>
          <w:rFonts w:ascii="Arial" w:cs="Arial" w:eastAsia="Arial" w:hAnsi="Arial"/>
          <w:sz w:val="20"/>
          <w:szCs w:val="20"/>
          <w:color w:val="auto"/>
        </w:rPr>
      </w:pPr>
      <w:r>
        <w:rPr>
          <w:rFonts w:ascii="Arial" w:cs="Arial" w:eastAsia="Arial" w:hAnsi="Arial"/>
          <w:sz w:val="20"/>
          <w:szCs w:val="20"/>
          <w:color w:val="auto"/>
        </w:rPr>
        <w:t>the number and type of Shares (or other securities) which thereafter may be made the subject of Awards, including the aggregate and individual limits specified in Section 5(a);</w:t>
      </w:r>
    </w:p>
    <w:p>
      <w:pPr>
        <w:spacing w:after="0" w:line="86" w:lineRule="exact"/>
        <w:rPr>
          <w:rFonts w:ascii="Arial" w:cs="Arial" w:eastAsia="Arial" w:hAnsi="Arial"/>
          <w:sz w:val="20"/>
          <w:szCs w:val="20"/>
          <w:color w:val="auto"/>
        </w:rPr>
      </w:pPr>
    </w:p>
    <w:p>
      <w:pPr>
        <w:ind w:left="1100" w:hanging="278"/>
        <w:spacing w:after="0"/>
        <w:tabs>
          <w:tab w:leader="none" w:pos="110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the number and type of Shares (or other securities) subject to outstanding Awards; and</w:t>
      </w:r>
    </w:p>
    <w:p>
      <w:pPr>
        <w:spacing w:after="0" w:line="90" w:lineRule="exact"/>
        <w:rPr>
          <w:rFonts w:ascii="Arial" w:cs="Arial" w:eastAsia="Arial" w:hAnsi="Arial"/>
          <w:sz w:val="20"/>
          <w:szCs w:val="20"/>
          <w:color w:val="auto"/>
        </w:rPr>
      </w:pPr>
    </w:p>
    <w:p>
      <w:pPr>
        <w:jc w:val="both"/>
        <w:ind w:left="820" w:right="60" w:firstLine="2"/>
        <w:spacing w:after="0" w:line="230" w:lineRule="auto"/>
        <w:tabs>
          <w:tab w:leader="none" w:pos="1154"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the grant, purchase or exercise price with respect to any Award or, if deemed appropriate, make provision for a cash payment to the holder of an outstanding Award;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number of Shares subject to any Award denominated in Shares shall always be a whole number.</w:t>
      </w:r>
    </w:p>
    <w:p>
      <w:pPr>
        <w:spacing w:after="0" w:line="154" w:lineRule="exact"/>
        <w:rPr>
          <w:rFonts w:ascii="Arial" w:cs="Arial" w:eastAsia="Arial" w:hAnsi="Arial"/>
          <w:sz w:val="20"/>
          <w:szCs w:val="20"/>
          <w:color w:val="auto"/>
        </w:rPr>
      </w:pPr>
    </w:p>
    <w:p>
      <w:pPr>
        <w:ind w:left="160" w:right="60" w:firstLine="7"/>
        <w:spacing w:after="0" w:line="234" w:lineRule="auto"/>
        <w:tabs>
          <w:tab w:leader="none" w:pos="47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Shares delivered pursuant to an Award may consist, in whole or in part, of authorized and newly issued Shares or Shares acquired by the Company.</w:t>
      </w:r>
    </w:p>
    <w:p>
      <w:pPr>
        <w:spacing w:after="0" w:line="166" w:lineRule="exact"/>
        <w:rPr>
          <w:rFonts w:ascii="Arial" w:cs="Arial" w:eastAsia="Arial" w:hAnsi="Arial"/>
          <w:sz w:val="20"/>
          <w:szCs w:val="20"/>
          <w:color w:val="auto"/>
        </w:rPr>
      </w:pPr>
    </w:p>
    <w:p>
      <w:pPr>
        <w:jc w:val="both"/>
        <w:ind w:left="160" w:right="60" w:firstLine="7"/>
        <w:spacing w:after="0" w:line="226" w:lineRule="auto"/>
        <w:tabs>
          <w:tab w:leader="none" w:pos="48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maximum number of Shares subject to Awards granted during a single fiscal year to any non-employee Director, taken together with any cash fees paid during the fiscal year to the non-employee Director, in respect of the Director’s service as a member of the Board during such year (including service as a member or chair of any committees of the Board), shall not exceed $750,000 in total value (calculating the value of any such Awards based on the grant date fair value of such Awards for financial reporting purposes). The independent members of the Board may make exceptions to this limit for a non-executive chair of the Board or a non-executive lead Director, provided that the non-employee Director receiving such additional compensation may not participate in the decision to award such compensation.</w:t>
      </w:r>
    </w:p>
    <w:p>
      <w:pPr>
        <w:spacing w:after="0" w:line="132" w:lineRule="exact"/>
        <w:rPr>
          <w:sz w:val="20"/>
          <w:szCs w:val="20"/>
          <w:color w:val="auto"/>
        </w:rPr>
      </w:pPr>
    </w:p>
    <w:p>
      <w:pPr>
        <w:jc w:val="both"/>
        <w:ind w:left="160" w:right="60"/>
        <w:spacing w:after="0" w:line="239"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i w:val="1"/>
          <w:iCs w:val="1"/>
          <w:color w:val="auto"/>
        </w:rPr>
        <w:t>Options</w:t>
      </w:r>
      <w:r>
        <w:rPr>
          <w:rFonts w:ascii="Arial" w:cs="Arial" w:eastAsia="Arial" w:hAnsi="Arial"/>
          <w:sz w:val="20"/>
          <w:szCs w:val="20"/>
          <w:color w:val="auto"/>
        </w:rPr>
        <w:t>. The Committee is authorized to grant Options to Participants with the following terms and conditions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with such additional terms and conditions, in either case not inconsistent with the provisions of the Plan, as the Committee shall determine.</w:t>
      </w:r>
    </w:p>
    <w:p>
      <w:pPr>
        <w:spacing w:after="0" w:line="133" w:lineRule="exact"/>
        <w:rPr>
          <w:sz w:val="20"/>
          <w:szCs w:val="20"/>
          <w:color w:val="auto"/>
        </w:rPr>
      </w:pPr>
    </w:p>
    <w:p>
      <w:pPr>
        <w:jc w:val="both"/>
        <w:ind w:left="160" w:right="60" w:firstLine="7"/>
        <w:spacing w:after="0" w:line="231" w:lineRule="auto"/>
        <w:tabs>
          <w:tab w:leader="none" w:pos="491"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The exercise price per Share under an Option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exercise price shall not be less than the Fair Market Value of a Share on the date of grant of such Option. Notwithstanding the foregoing, an Option may be granted with an exercise price lower than that set forth in the preceding sentence if such Option is granted pursuant to an assumption or substitution for another Option in a manner consistent with the provisions of Sections 409A and 424(a) of the Code.</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B-6 </w:t>
      </w:r>
      <w:r>
        <w:rPr>
          <w:sz w:val="1"/>
          <w:szCs w:val="1"/>
          <w:color w:val="auto"/>
        </w:rPr>
        <w:drawing>
          <wp:inline distT="0" distB="0" distL="0" distR="0">
            <wp:extent cx="6793865" cy="10160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100" w:firstLine="7"/>
        <w:spacing w:after="0" w:line="230" w:lineRule="auto"/>
        <w:tabs>
          <w:tab w:leader="none" w:pos="475"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term of each Option shall be fixed by the Committee but shall not exceed 10 years from the date of grant of such Option in the form of an Incentive Stock Option and 10 years plus two days from the date of grant of such Option in the form of a Non-Qualified Stock Option.</w:t>
      </w:r>
    </w:p>
    <w:p>
      <w:pPr>
        <w:spacing w:after="0" w:line="154" w:lineRule="exact"/>
        <w:rPr>
          <w:rFonts w:ascii="Arial" w:cs="Arial" w:eastAsia="Arial" w:hAnsi="Arial"/>
          <w:sz w:val="20"/>
          <w:szCs w:val="20"/>
          <w:color w:val="auto"/>
        </w:rPr>
      </w:pPr>
    </w:p>
    <w:p>
      <w:pPr>
        <w:ind w:left="460" w:hanging="293"/>
        <w:spacing w:after="0"/>
        <w:tabs>
          <w:tab w:leader="none" w:pos="4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Committee shall determine the time or times at which an Option may be exercised in whole or in part.</w:t>
      </w:r>
    </w:p>
    <w:p>
      <w:pPr>
        <w:spacing w:after="0" w:line="171" w:lineRule="exact"/>
        <w:rPr>
          <w:rFonts w:ascii="Arial" w:cs="Arial" w:eastAsia="Arial" w:hAnsi="Arial"/>
          <w:sz w:val="20"/>
          <w:szCs w:val="20"/>
          <w:color w:val="auto"/>
        </w:rPr>
      </w:pPr>
    </w:p>
    <w:p>
      <w:pPr>
        <w:jc w:val="both"/>
        <w:ind w:left="160" w:right="100" w:firstLine="7"/>
        <w:spacing w:after="0" w:line="228" w:lineRule="auto"/>
        <w:tabs>
          <w:tab w:leader="none" w:pos="475"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Committee shall determine the method or methods by which, and the form or forms, including cash, Shares, other Awards, other property, net settlement, broker assisted cashless exercise or any combination thereof, having a Fair Market Value on the exercise date equal to the relevant exercise price, in which payment of the exercise price with respect thereto may be made or deemed to have been made.</w:t>
      </w:r>
    </w:p>
    <w:p>
      <w:pPr>
        <w:spacing w:after="0" w:line="155" w:lineRule="exact"/>
        <w:rPr>
          <w:rFonts w:ascii="Arial" w:cs="Arial" w:eastAsia="Arial" w:hAnsi="Arial"/>
          <w:sz w:val="20"/>
          <w:szCs w:val="20"/>
          <w:color w:val="auto"/>
        </w:rPr>
      </w:pPr>
    </w:p>
    <w:p>
      <w:pPr>
        <w:jc w:val="both"/>
        <w:ind w:left="160" w:right="100" w:firstLine="7"/>
        <w:spacing w:after="0" w:line="230" w:lineRule="auto"/>
        <w:tabs>
          <w:tab w:leader="none" w:pos="487"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Any Option intended to be treated as an Incentive Stock Option shall be designated as such under the terms of the applicable Award Document. The terms of any such Incentive Stock Option shall comply in all respects with the provisions of Section 422 of the Code.</w:t>
      </w:r>
    </w:p>
    <w:p>
      <w:pPr>
        <w:spacing w:after="0" w:line="154" w:lineRule="exact"/>
        <w:rPr>
          <w:rFonts w:ascii="Arial" w:cs="Arial" w:eastAsia="Arial" w:hAnsi="Arial"/>
          <w:sz w:val="20"/>
          <w:szCs w:val="20"/>
          <w:color w:val="auto"/>
        </w:rPr>
      </w:pPr>
    </w:p>
    <w:p>
      <w:pPr>
        <w:jc w:val="both"/>
        <w:ind w:left="160" w:right="100" w:firstLine="7"/>
        <w:spacing w:after="0" w:line="227" w:lineRule="auto"/>
        <w:tabs>
          <w:tab w:leader="none" w:pos="41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Subject to Section 12 and Section 13, in general, no portion of an Award of Options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Options granted and outstanding under the Plan.</w:t>
      </w:r>
    </w:p>
    <w:p>
      <w:pPr>
        <w:spacing w:after="0" w:line="146" w:lineRule="exact"/>
        <w:rPr>
          <w:sz w:val="20"/>
          <w:szCs w:val="20"/>
          <w:color w:val="auto"/>
        </w:rPr>
      </w:pPr>
    </w:p>
    <w:p>
      <w:pPr>
        <w:jc w:val="both"/>
        <w:ind w:left="160" w:right="100"/>
        <w:spacing w:after="0" w:line="239"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i w:val="1"/>
          <w:iCs w:val="1"/>
          <w:color w:val="auto"/>
        </w:rPr>
        <w:t>Stock Appreciation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SARs to Participants with the following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with such additional terms and conditions, in either case not inconsistent with the provisions of the Plan, as the Committee shall determine.</w:t>
      </w:r>
    </w:p>
    <w:p>
      <w:pPr>
        <w:spacing w:after="0" w:line="153" w:lineRule="exact"/>
        <w:rPr>
          <w:sz w:val="20"/>
          <w:szCs w:val="20"/>
          <w:color w:val="auto"/>
        </w:rPr>
      </w:pPr>
    </w:p>
    <w:p>
      <w:pPr>
        <w:ind w:left="160" w:right="100" w:firstLine="7"/>
        <w:spacing w:after="0" w:line="234" w:lineRule="auto"/>
        <w:tabs>
          <w:tab w:leader="none" w:pos="46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SARs may be granted under the Plan to Participants either alone (“freestanding”) or in addition to other Awards granted under the Plan (“tandem”) and may, but need not, relate to a specific Option granted under Section 6.</w:t>
      </w:r>
    </w:p>
    <w:p>
      <w:pPr>
        <w:spacing w:after="0" w:line="133" w:lineRule="exact"/>
        <w:rPr>
          <w:rFonts w:ascii="Arial" w:cs="Arial" w:eastAsia="Arial" w:hAnsi="Arial"/>
          <w:sz w:val="20"/>
          <w:szCs w:val="20"/>
          <w:color w:val="auto"/>
        </w:rPr>
      </w:pPr>
    </w:p>
    <w:p>
      <w:pPr>
        <w:jc w:val="both"/>
        <w:ind w:left="160" w:right="100" w:firstLine="7"/>
        <w:spacing w:after="0" w:line="231" w:lineRule="auto"/>
        <w:tabs>
          <w:tab w:leader="none" w:pos="46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The exercise price per Share under a SAR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exercise price shall not be less than the Fair Market Value of a Share on the date of grant of such SAR. Notwithstanding the foregoing, a SAR may be granted with an exercise price lower than that set forth in the preceding sentence if such SAR is granted pursuant to an assumption or substitution for another SAR in a manner consistent with the provisions of Sections 409A and 424(a) of the Code.</w:t>
      </w:r>
    </w:p>
    <w:p>
      <w:pPr>
        <w:spacing w:after="0" w:line="170" w:lineRule="exact"/>
        <w:rPr>
          <w:rFonts w:ascii="Arial" w:cs="Arial" w:eastAsia="Arial" w:hAnsi="Arial"/>
          <w:sz w:val="20"/>
          <w:szCs w:val="20"/>
          <w:color w:val="auto"/>
        </w:rPr>
      </w:pPr>
    </w:p>
    <w:p>
      <w:pPr>
        <w:ind w:left="460" w:hanging="293"/>
        <w:spacing w:after="0"/>
        <w:tabs>
          <w:tab w:leader="none" w:pos="46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term of each SAR shall be fixed by the Committee but shall not exceed 10 years from the date of grant of such SAR.</w:t>
      </w:r>
    </w:p>
    <w:p>
      <w:pPr>
        <w:spacing w:after="0" w:line="157" w:lineRule="exact"/>
        <w:rPr>
          <w:rFonts w:ascii="Arial" w:cs="Arial" w:eastAsia="Arial" w:hAnsi="Arial"/>
          <w:sz w:val="20"/>
          <w:szCs w:val="20"/>
          <w:color w:val="auto"/>
        </w:rPr>
      </w:pPr>
    </w:p>
    <w:p>
      <w:pPr>
        <w:ind w:left="460" w:hanging="293"/>
        <w:spacing w:after="0"/>
        <w:tabs>
          <w:tab w:leader="none" w:pos="46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Committee shall determine the time or times at which a SAR may be exercised or settled in whole or in part.</w:t>
      </w:r>
    </w:p>
    <w:p>
      <w:pPr>
        <w:spacing w:after="0" w:line="157" w:lineRule="exact"/>
        <w:rPr>
          <w:rFonts w:ascii="Arial" w:cs="Arial" w:eastAsia="Arial" w:hAnsi="Arial"/>
          <w:sz w:val="20"/>
          <w:szCs w:val="20"/>
          <w:color w:val="auto"/>
        </w:rPr>
      </w:pPr>
    </w:p>
    <w:p>
      <w:pPr>
        <w:jc w:val="both"/>
        <w:ind w:left="160" w:right="100" w:firstLine="7"/>
        <w:spacing w:after="0" w:line="227" w:lineRule="auto"/>
        <w:tabs>
          <w:tab w:leader="none" w:pos="47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Subject to Section 12 and Section 13, in general, no portion of an Award of SARs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SARs granted and outstanding under the Plan.</w:t>
      </w:r>
    </w:p>
    <w:p>
      <w:pPr>
        <w:spacing w:after="0" w:line="146" w:lineRule="exact"/>
        <w:rPr>
          <w:sz w:val="20"/>
          <w:szCs w:val="20"/>
          <w:color w:val="auto"/>
        </w:rPr>
      </w:pPr>
    </w:p>
    <w:p>
      <w:pPr>
        <w:jc w:val="both"/>
        <w:ind w:left="160" w:right="120"/>
        <w:spacing w:after="0" w:line="239"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i w:val="1"/>
          <w:iCs w:val="1"/>
          <w:color w:val="auto"/>
        </w:rPr>
        <w:t>Restricted Stock and RSUs.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Awards of Restricted Stock and RSUs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with the following terms and conditions and with such additional terms and conditions, in either case not inconsistent with the provisions of the Plan, as the Committee shall determine.</w:t>
      </w:r>
    </w:p>
    <w:p>
      <w:pPr>
        <w:spacing w:after="0" w:line="153" w:lineRule="exact"/>
        <w:rPr>
          <w:sz w:val="20"/>
          <w:szCs w:val="20"/>
          <w:color w:val="auto"/>
        </w:rPr>
      </w:pPr>
    </w:p>
    <w:p>
      <w:pPr>
        <w:ind w:left="160" w:right="100" w:firstLine="7"/>
        <w:spacing w:after="0" w:line="234" w:lineRule="auto"/>
        <w:tabs>
          <w:tab w:leader="none" w:pos="46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Shares of Restricted Stock and RSUs shall be subject to such restrictions as the Committee may impose (including any limitation on the right to receive any dividend, dividend equivalent or other right),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B-7</w:t>
      </w:r>
    </w:p>
    <w:p>
      <w:pPr>
        <w:sectPr>
          <w:pgSz w:w="11900" w:h="16838" w:orient="portrait"/>
          <w:cols w:equalWidth="0" w:num="1">
            <w:col w:w="11180"/>
          </w:cols>
          <w:pgMar w:left="320" w:top="456" w:right="3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60"/>
        <w:spacing w:after="0" w:line="239" w:lineRule="auto"/>
        <w:rPr>
          <w:sz w:val="20"/>
          <w:szCs w:val="20"/>
          <w:color w:val="auto"/>
        </w:rPr>
      </w:pPr>
      <w:r>
        <w:rPr>
          <w:rFonts w:ascii="Arial" w:cs="Arial" w:eastAsia="Arial" w:hAnsi="Arial"/>
          <w:sz w:val="19"/>
          <w:szCs w:val="19"/>
          <w:color w:val="auto"/>
        </w:rPr>
        <w:t xml:space="preserve">restrictions may lapse separately or in combination at such time or times, in such installments or otherwise, as the Committee may deem appropriate;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12 and Section 13, in general, each Award of Restricted Stock and RSUs (other than Performance Awards)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56" w:lineRule="exact"/>
        <w:rPr>
          <w:sz w:val="20"/>
          <w:szCs w:val="20"/>
          <w:color w:val="auto"/>
        </w:rPr>
      </w:pPr>
    </w:p>
    <w:p>
      <w:pPr>
        <w:jc w:val="both"/>
        <w:ind w:left="160" w:right="60" w:firstLine="7"/>
        <w:spacing w:after="0" w:line="225" w:lineRule="auto"/>
        <w:tabs>
          <w:tab w:leader="none" w:pos="47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With respect to Shares of Restricted Stock, a Participant generally shall have the rights and privileges of a stockholder with respect thereto, including the right to vote such Shares of Restricted Stock and the right to receive dividends or dividend equivalents. Without limiting the generality of the foregoing, if the Award relates to Shares on which dividends are declared during the 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share of Restricted Stock may be evidenced in such manner as the Committee may deem appropriate, including book-entry registration. For the avoidance of doubt, unless otherwise determined by the Committee, no dividends or dividend equivalent rights shall be provided with respect to any Shares of Restricted Stock that do not vest pursuant to their terms.</w:t>
      </w:r>
    </w:p>
    <w:p>
      <w:pPr>
        <w:spacing w:after="0" w:line="172" w:lineRule="exact"/>
        <w:rPr>
          <w:rFonts w:ascii="Arial" w:cs="Arial" w:eastAsia="Arial" w:hAnsi="Arial"/>
          <w:sz w:val="20"/>
          <w:szCs w:val="20"/>
          <w:color w:val="auto"/>
        </w:rPr>
      </w:pPr>
    </w:p>
    <w:p>
      <w:pPr>
        <w:jc w:val="both"/>
        <w:ind w:left="160" w:right="60" w:firstLine="7"/>
        <w:spacing w:after="0" w:line="225" w:lineRule="auto"/>
        <w:tabs>
          <w:tab w:leader="none" w:pos="44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With respect to an RSU Award, each RSU covered by such Award shall represent a right to receive the value of one Share in cash, Shares or a combination thereof. An RSU shall not convey to the Participant the rights and privileges of a stockholder with respect to the Share subject to the RSU, such as the right to vote or the right to receive dividends, unless and until a Share is issued to the Participant to settle the RSU. Notwithstanding the foregoing, unless otherwise determined by the Committee in its sole discretion, RSU Awards shall convey the right to receive dividend equivalents on the Shares underlying the RSU Award with respect to any dividends declared during the period that the RSU Award is outstanding. Such dividend equivalent rights shall accumulate and shall be paid in cash on the settlement date of the underlying RSU Award, subject to the satisfaction of the vesting and other conditions of the underlying RSU Award, unless otherwise determined by the Committee.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Shares subject to RSUs that do not vest or settle pursuant to their terms.</w:t>
      </w:r>
    </w:p>
    <w:p>
      <w:pPr>
        <w:spacing w:after="0" w:line="130" w:lineRule="exact"/>
        <w:rPr>
          <w:sz w:val="20"/>
          <w:szCs w:val="20"/>
          <w:color w:val="auto"/>
        </w:rPr>
      </w:pPr>
    </w:p>
    <w:p>
      <w:pPr>
        <w:jc w:val="both"/>
        <w:ind w:left="160" w:right="60"/>
        <w:spacing w:after="0" w:line="239" w:lineRule="auto"/>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i w:val="1"/>
          <w:iCs w:val="1"/>
          <w:color w:val="auto"/>
        </w:rPr>
        <w:t>Performance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to grant Performance Awards with the following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with such additional terms and conditions, in either case not inconsistent with the provisions of the Plan, as the Committee shall determine:</w:t>
      </w:r>
    </w:p>
    <w:p>
      <w:pPr>
        <w:spacing w:after="0" w:line="153" w:lineRule="exact"/>
        <w:rPr>
          <w:sz w:val="20"/>
          <w:szCs w:val="20"/>
          <w:color w:val="auto"/>
        </w:rPr>
      </w:pPr>
    </w:p>
    <w:p>
      <w:pPr>
        <w:jc w:val="both"/>
        <w:ind w:left="160" w:right="60" w:firstLine="7"/>
        <w:spacing w:after="0" w:line="225" w:lineRule="auto"/>
        <w:tabs>
          <w:tab w:leader="none" w:pos="45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Performance Awards may be denominated as a cash amount, number of Shares or units or a combination thereof and are Awards which may be earned upon achievement or satisfaction of performance conditions specified by the Committee. In addition, the Committee may specify that any 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subject to Section 12 and Section 13, in general, each Performance Award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B-8 </w:t>
      </w:r>
      <w:r>
        <w:rPr>
          <w:sz w:val="1"/>
          <w:szCs w:val="1"/>
          <w:color w:val="auto"/>
        </w:rPr>
        <w:drawing>
          <wp:inline distT="0" distB="0" distL="0" distR="0">
            <wp:extent cx="6793865" cy="10160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140"/>
          </w:cols>
          <w:pgMar w:left="320" w:top="456"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100" w:firstLine="7"/>
        <w:spacing w:after="0" w:line="225" w:lineRule="auto"/>
        <w:tabs>
          <w:tab w:leader="none" w:pos="45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 Performance Award may be subject to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performance measures expressed on an absolute or adjusted basis with respect to the Company, including without limitation: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warranty experience, and/or any other objective or subjective measures determined by the Committee in its sole discretion.</w:t>
      </w:r>
    </w:p>
    <w:p>
      <w:pPr>
        <w:spacing w:after="0" w:line="136" w:lineRule="exact"/>
        <w:rPr>
          <w:rFonts w:ascii="Arial" w:cs="Arial" w:eastAsia="Arial" w:hAnsi="Arial"/>
          <w:sz w:val="20"/>
          <w:szCs w:val="20"/>
          <w:color w:val="auto"/>
        </w:rPr>
      </w:pPr>
    </w:p>
    <w:p>
      <w:pPr>
        <w:jc w:val="both"/>
        <w:ind w:left="160" w:right="100" w:firstLine="7"/>
        <w:spacing w:after="0" w:line="228" w:lineRule="auto"/>
        <w:tabs>
          <w:tab w:leader="none" w:pos="44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Each performance criterion may be measured on an absolute (</w:t>
      </w:r>
      <w:r>
        <w:rPr>
          <w:rFonts w:ascii="Arial" w:cs="Arial" w:eastAsia="Arial" w:hAnsi="Arial"/>
          <w:sz w:val="20"/>
          <w:szCs w:val="20"/>
          <w:i w:val="1"/>
          <w:iCs w:val="1"/>
          <w:color w:val="auto"/>
        </w:rPr>
        <w:t>e.g.</w:t>
      </w:r>
      <w:r>
        <w:rPr>
          <w:rFonts w:ascii="Arial" w:cs="Arial" w:eastAsia="Arial" w:hAnsi="Arial"/>
          <w:sz w:val="20"/>
          <w:szCs w:val="20"/>
          <w:color w:val="auto"/>
        </w:rPr>
        <w:t>, plan or budget) or relative basis. Relative performance may be measured against a group of peer companies, a financial market index or other acceptable objective and quantifiable indices which the Committee selects. With respect to the applicable Performance Period, if the Committee determines that a change in the business, operations, corporate structure or capital structure of the Company, or the manner in which it conducts its business, or other events or circumstances render the applicable performance measures unsuitable, the Committee may in its discretion modify such performance objectives or the related minimum acceptable level of achievement, in whole or part, as the Committee deems appropriate and equitable. Performance measures may vary from Performance Award to Performance Award, respectively, and from Participant to Participant, and may be established on a stand-alone basis, in tandem or in the alternative.</w:t>
      </w:r>
    </w:p>
    <w:p>
      <w:pPr>
        <w:spacing w:after="0" w:line="166" w:lineRule="exact"/>
        <w:rPr>
          <w:rFonts w:ascii="Arial" w:cs="Arial" w:eastAsia="Arial" w:hAnsi="Arial"/>
          <w:sz w:val="20"/>
          <w:szCs w:val="20"/>
          <w:color w:val="auto"/>
        </w:rPr>
      </w:pPr>
    </w:p>
    <w:p>
      <w:pPr>
        <w:jc w:val="both"/>
        <w:ind w:left="160" w:right="100" w:firstLine="7"/>
        <w:spacing w:after="0" w:line="230" w:lineRule="auto"/>
        <w:tabs>
          <w:tab w:leader="none" w:pos="49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Settlement of Performance Awards shall be in cash, Shares, other Awards, or any combination thereof, in the sole discretion of the Committee. The Committee may increase or reduce the amount of a settlement otherwise to be made in connection with a Performance Award.</w:t>
      </w:r>
    </w:p>
    <w:p>
      <w:pPr>
        <w:spacing w:after="0" w:line="154" w:lineRule="exact"/>
        <w:rPr>
          <w:rFonts w:ascii="Arial" w:cs="Arial" w:eastAsia="Arial" w:hAnsi="Arial"/>
          <w:sz w:val="20"/>
          <w:szCs w:val="20"/>
          <w:color w:val="auto"/>
        </w:rPr>
      </w:pPr>
    </w:p>
    <w:p>
      <w:pPr>
        <w:jc w:val="both"/>
        <w:ind w:left="160" w:right="100" w:firstLine="7"/>
        <w:spacing w:after="0" w:line="225" w:lineRule="auto"/>
        <w:tabs>
          <w:tab w:leader="none" w:pos="48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 Performance Award shall not convey to the Participant the rights and privileges of a stockholder with respect to the Shares subject to the Performance Award, such as the right to vote (except as relates to Restricted Stock) or the right to receive dividends, unless and until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Shares underlying the Performance Awards that are earned. Such dividend equivalents rights 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pacing w:after="0" w:line="132" w:lineRule="exact"/>
        <w:rPr>
          <w:sz w:val="20"/>
          <w:szCs w:val="20"/>
          <w:color w:val="auto"/>
        </w:rPr>
      </w:pPr>
    </w:p>
    <w:p>
      <w:pPr>
        <w:jc w:val="both"/>
        <w:ind w:left="160" w:right="100"/>
        <w:spacing w:after="0" w:line="229" w:lineRule="auto"/>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i w:val="1"/>
          <w:iCs w:val="1"/>
          <w:color w:val="auto"/>
        </w:rPr>
        <w:t>Other Stock-Based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is authorized, subject to limitations under applicable law, to grant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 For the avoidance of doubt, unless otherwise determined by the Committee, no dividend equivalent rights shall be provided with respect to any Shares subject to an Award that are not earned or do not vest pursuant to the terms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B-9</w:t>
      </w:r>
    </w:p>
    <w:p>
      <w:pPr>
        <w:sectPr>
          <w:pgSz w:w="11900" w:h="16838" w:orient="portrait"/>
          <w:cols w:equalWidth="0" w:num="1">
            <w:col w:w="11180"/>
          </w:cols>
          <w:pgMar w:left="320" w:top="456" w:right="3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jc w:val="both"/>
        <w:ind w:left="160" w:right="140"/>
        <w:spacing w:after="0" w:line="238"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i w:val="1"/>
          <w:iCs w:val="1"/>
          <w:color w:val="auto"/>
        </w:rPr>
        <w:t>Conditions Precedent to Awards</w:t>
      </w:r>
      <w:r>
        <w:rPr>
          <w:rFonts w:ascii="Arial" w:cs="Arial" w:eastAsia="Arial" w:hAnsi="Arial"/>
          <w:sz w:val="19"/>
          <w:szCs w:val="19"/>
          <w:color w:val="auto"/>
        </w:rPr>
        <w:t>. As a condition precedent to the vesting, exercise, payment or settlement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any Award at any time prior to a Change in Control, each Participant shall: (a) 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or service, directly or indirectly, knowingly induce any employee of the Company or any Subsidiary to leave his or her employment for participation, directly or indirectly, with any existing or future employer or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139" w:lineRule="exact"/>
        <w:rPr>
          <w:sz w:val="20"/>
          <w:szCs w:val="20"/>
          <w:color w:val="auto"/>
        </w:rPr>
      </w:pPr>
    </w:p>
    <w:p>
      <w:pPr>
        <w:jc w:val="both"/>
        <w:ind w:left="160" w:right="140"/>
        <w:spacing w:after="0" w:line="239"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i w:val="1"/>
          <w:iCs w:val="1"/>
          <w:color w:val="auto"/>
        </w:rPr>
        <w:t>Effect of Termination of Service on Awards.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Sections 11 and 13, and unless otherwise provided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in any Award Document, or as the Committee may determine in any individual case, the following shall apply with respect to a Participant’s outstanding Awards upon such Participant’s Termination of Service.</w:t>
      </w:r>
    </w:p>
    <w:p>
      <w:pPr>
        <w:spacing w:after="0" w:line="146" w:lineRule="exact"/>
        <w:rPr>
          <w:sz w:val="20"/>
          <w:szCs w:val="20"/>
          <w:color w:val="auto"/>
        </w:rPr>
      </w:pPr>
    </w:p>
    <w:p>
      <w:pPr>
        <w:ind w:left="460" w:hanging="293"/>
        <w:spacing w:after="0"/>
        <w:tabs>
          <w:tab w:leader="none" w:pos="460" w:val="left"/>
        </w:tabs>
        <w:numPr>
          <w:ilvl w:val="0"/>
          <w:numId w:val="191"/>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In the event of a Participant’s Termination of Service due to death:</w:t>
      </w:r>
    </w:p>
    <w:p>
      <w:pPr>
        <w:spacing w:after="0" w:line="110" w:lineRule="exact"/>
        <w:rPr>
          <w:rFonts w:ascii="Arial" w:cs="Arial" w:eastAsia="Arial" w:hAnsi="Arial"/>
          <w:sz w:val="20"/>
          <w:szCs w:val="20"/>
          <w:color w:val="auto"/>
        </w:rPr>
      </w:pPr>
    </w:p>
    <w:p>
      <w:pPr>
        <w:jc w:val="both"/>
        <w:ind w:left="820" w:right="140" w:firstLine="2"/>
        <w:spacing w:after="0" w:line="230" w:lineRule="auto"/>
        <w:tabs>
          <w:tab w:leader="none" w:pos="109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Option and SAR held by the Participant shall immediately vest (to the extent not vested) and become exercisable and shall remain exercisable until the third anniversary of the date of death or, if earlier, the expiration date of such Option or SAR.</w:t>
      </w:r>
    </w:p>
    <w:p>
      <w:pPr>
        <w:spacing w:after="0" w:line="87" w:lineRule="exact"/>
        <w:rPr>
          <w:rFonts w:ascii="Arial" w:cs="Arial" w:eastAsia="Arial" w:hAnsi="Arial"/>
          <w:sz w:val="20"/>
          <w:szCs w:val="20"/>
          <w:color w:val="auto"/>
        </w:rPr>
      </w:pPr>
    </w:p>
    <w:p>
      <w:pPr>
        <w:ind w:left="820" w:right="140" w:firstLine="2"/>
        <w:spacing w:after="0" w:line="234" w:lineRule="auto"/>
        <w:tabs>
          <w:tab w:leader="none" w:pos="109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Restricted Stock and RSU Award held by the Participant shall immediately vest. Any RSU that vests pursuant to the preceding sentence shall be settled within 90 days following the Participant’s death.</w:t>
      </w:r>
    </w:p>
    <w:p>
      <w:pPr>
        <w:spacing w:after="0" w:line="86" w:lineRule="exact"/>
        <w:rPr>
          <w:rFonts w:ascii="Arial" w:cs="Arial" w:eastAsia="Arial" w:hAnsi="Arial"/>
          <w:sz w:val="20"/>
          <w:szCs w:val="20"/>
          <w:color w:val="auto"/>
        </w:rPr>
      </w:pPr>
    </w:p>
    <w:p>
      <w:pPr>
        <w:jc w:val="both"/>
        <w:ind w:left="820" w:right="140" w:firstLine="2"/>
        <w:spacing w:after="0" w:line="228" w:lineRule="auto"/>
        <w:tabs>
          <w:tab w:leader="none" w:pos="121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35" w:lineRule="exact"/>
        <w:rPr>
          <w:rFonts w:ascii="Arial" w:cs="Arial" w:eastAsia="Arial" w:hAnsi="Arial"/>
          <w:sz w:val="20"/>
          <w:szCs w:val="20"/>
          <w:color w:val="auto"/>
        </w:rPr>
      </w:pPr>
    </w:p>
    <w:p>
      <w:pPr>
        <w:ind w:left="460" w:hanging="293"/>
        <w:spacing w:after="0"/>
        <w:tabs>
          <w:tab w:leader="none" w:pos="460" w:val="left"/>
        </w:tabs>
        <w:numPr>
          <w:ilvl w:val="0"/>
          <w:numId w:val="191"/>
        </w:numPr>
        <w:rPr>
          <w:rFonts w:ascii="Arial" w:cs="Arial" w:eastAsia="Arial" w:hAnsi="Arial"/>
          <w:sz w:val="20"/>
          <w:szCs w:val="20"/>
          <w:color w:val="auto"/>
        </w:rPr>
      </w:pPr>
      <w:r>
        <w:rPr>
          <w:rFonts w:ascii="Arial" w:cs="Arial" w:eastAsia="Arial" w:hAnsi="Arial"/>
          <w:sz w:val="20"/>
          <w:szCs w:val="20"/>
          <w:i w:val="1"/>
          <w:iCs w:val="1"/>
          <w:color w:val="auto"/>
        </w:rPr>
        <w:t>Disability</w:t>
      </w:r>
      <w:r>
        <w:rPr>
          <w:rFonts w:ascii="Arial" w:cs="Arial" w:eastAsia="Arial" w:hAnsi="Arial"/>
          <w:sz w:val="20"/>
          <w:szCs w:val="20"/>
          <w:color w:val="auto"/>
        </w:rPr>
        <w:t>. In the event of a Participant’s Termination of Service due to Disability:</w:t>
      </w:r>
    </w:p>
    <w:p>
      <w:pPr>
        <w:spacing w:after="0" w:line="110" w:lineRule="exact"/>
        <w:rPr>
          <w:rFonts w:ascii="Arial" w:cs="Arial" w:eastAsia="Arial" w:hAnsi="Arial"/>
          <w:sz w:val="20"/>
          <w:szCs w:val="20"/>
          <w:color w:val="auto"/>
        </w:rPr>
      </w:pPr>
    </w:p>
    <w:p>
      <w:pPr>
        <w:ind w:left="820" w:right="140" w:firstLine="2"/>
        <w:spacing w:after="0" w:line="234" w:lineRule="auto"/>
        <w:tabs>
          <w:tab w:leader="none" w:pos="1055"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Option and SAR held by the Participant shall continue to vest and become exercisable in accordance with its existing vesting schedule and shall remain exercisable until the expiration date of such Option or SAR.</w:t>
      </w:r>
    </w:p>
    <w:p>
      <w:pPr>
        <w:spacing w:after="0" w:line="86" w:lineRule="exact"/>
        <w:rPr>
          <w:rFonts w:ascii="Arial" w:cs="Arial" w:eastAsia="Arial" w:hAnsi="Arial"/>
          <w:sz w:val="20"/>
          <w:szCs w:val="20"/>
          <w:color w:val="auto"/>
        </w:rPr>
      </w:pPr>
    </w:p>
    <w:p>
      <w:pPr>
        <w:jc w:val="both"/>
        <w:ind w:left="820" w:right="140" w:firstLine="2"/>
        <w:spacing w:after="0" w:line="230" w:lineRule="auto"/>
        <w:tabs>
          <w:tab w:leader="none" w:pos="10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Restricted Stock and RSU Award held by the Participant shall continue to vest in accordance with its existing vesting schedule. Each RSU that vests pursuant to the preceding sentence shall be settled on the scheduled settlement date or dates as provided under the terms of the applicable Award Document.</w:t>
      </w:r>
    </w:p>
    <w:p>
      <w:pPr>
        <w:spacing w:after="0" w:line="87" w:lineRule="exact"/>
        <w:rPr>
          <w:rFonts w:ascii="Arial" w:cs="Arial" w:eastAsia="Arial" w:hAnsi="Arial"/>
          <w:sz w:val="20"/>
          <w:szCs w:val="20"/>
          <w:color w:val="auto"/>
        </w:rPr>
      </w:pPr>
    </w:p>
    <w:p>
      <w:pPr>
        <w:jc w:val="both"/>
        <w:ind w:left="820" w:right="140" w:firstLine="2"/>
        <w:spacing w:after="0" w:line="228" w:lineRule="auto"/>
        <w:tabs>
          <w:tab w:leader="none" w:pos="121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135" w:lineRule="exact"/>
        <w:rPr>
          <w:rFonts w:ascii="Arial" w:cs="Arial" w:eastAsia="Arial" w:hAnsi="Arial"/>
          <w:sz w:val="20"/>
          <w:szCs w:val="20"/>
          <w:color w:val="auto"/>
        </w:rPr>
      </w:pPr>
    </w:p>
    <w:p>
      <w:pPr>
        <w:ind w:left="460" w:hanging="293"/>
        <w:spacing w:after="0"/>
        <w:tabs>
          <w:tab w:leader="none" w:pos="460" w:val="left"/>
        </w:tabs>
        <w:numPr>
          <w:ilvl w:val="0"/>
          <w:numId w:val="191"/>
        </w:numPr>
        <w:rPr>
          <w:rFonts w:ascii="Arial" w:cs="Arial" w:eastAsia="Arial" w:hAnsi="Arial"/>
          <w:sz w:val="20"/>
          <w:szCs w:val="20"/>
          <w:color w:val="auto"/>
        </w:rPr>
      </w:pPr>
      <w:r>
        <w:rPr>
          <w:rFonts w:ascii="Arial" w:cs="Arial" w:eastAsia="Arial" w:hAnsi="Arial"/>
          <w:sz w:val="20"/>
          <w:szCs w:val="20"/>
          <w:i w:val="1"/>
          <w:iCs w:val="1"/>
          <w:color w:val="auto"/>
        </w:rPr>
        <w:t>Full Career Status Termination</w:t>
      </w:r>
      <w:r>
        <w:rPr>
          <w:rFonts w:ascii="Arial" w:cs="Arial" w:eastAsia="Arial" w:hAnsi="Arial"/>
          <w:sz w:val="20"/>
          <w:szCs w:val="20"/>
          <w:color w:val="auto"/>
        </w:rPr>
        <w:t>. In the event of a Participant’s Termination of Service after achieving Full Career Status:</w:t>
      </w:r>
    </w:p>
    <w:p>
      <w:pPr>
        <w:spacing w:after="0" w:line="110" w:lineRule="exact"/>
        <w:rPr>
          <w:rFonts w:ascii="Arial" w:cs="Arial" w:eastAsia="Arial" w:hAnsi="Arial"/>
          <w:sz w:val="20"/>
          <w:szCs w:val="20"/>
          <w:color w:val="auto"/>
        </w:rPr>
      </w:pPr>
    </w:p>
    <w:p>
      <w:pPr>
        <w:ind w:left="1060" w:hanging="238"/>
        <w:spacing w:after="0"/>
        <w:tabs>
          <w:tab w:leader="none" w:pos="106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With respect to each outstanding Option and SAR held by the Participant: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B-10 </w:t>
      </w:r>
      <w:r>
        <w:rPr>
          <w:sz w:val="1"/>
          <w:szCs w:val="1"/>
          <w:color w:val="auto"/>
        </w:rPr>
        <w:drawing>
          <wp:inline distT="0" distB="0" distL="0" distR="0">
            <wp:extent cx="6793865" cy="10160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220"/>
          </w:cols>
          <w:pgMar w:left="320" w:top="456"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700" w:right="180" w:hanging="5"/>
        <w:spacing w:after="0" w:line="235" w:lineRule="auto"/>
        <w:tabs>
          <w:tab w:leader="none" w:pos="2039" w:val="left"/>
        </w:tabs>
        <w:numPr>
          <w:ilvl w:val="2"/>
          <w:numId w:val="192"/>
        </w:numPr>
        <w:rPr>
          <w:rFonts w:ascii="Arial" w:cs="Arial" w:eastAsia="Arial" w:hAnsi="Arial"/>
          <w:sz w:val="19"/>
          <w:szCs w:val="19"/>
          <w:color w:val="auto"/>
        </w:rPr>
      </w:pPr>
      <w:r>
        <w:rPr>
          <w:rFonts w:ascii="Arial" w:cs="Arial" w:eastAsia="Arial" w:hAnsi="Arial"/>
          <w:sz w:val="19"/>
          <w:szCs w:val="19"/>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Options and SARs that vest pursuant to this Section 12(c)(i)</w:t>
      </w:r>
    </w:p>
    <w:p>
      <w:pPr>
        <w:ind w:left="1700" w:right="200" w:hanging="5"/>
        <w:spacing w:after="0" w:line="234" w:lineRule="auto"/>
        <w:tabs>
          <w:tab w:leader="none" w:pos="2043" w:val="left"/>
        </w:tabs>
        <w:numPr>
          <w:ilvl w:val="2"/>
          <w:numId w:val="193"/>
        </w:numPr>
        <w:rPr>
          <w:rFonts w:ascii="Arial" w:cs="Arial" w:eastAsia="Arial" w:hAnsi="Arial"/>
          <w:sz w:val="20"/>
          <w:szCs w:val="20"/>
          <w:color w:val="auto"/>
        </w:rPr>
      </w:pPr>
      <w:r>
        <w:rPr>
          <w:rFonts w:ascii="Arial" w:cs="Arial" w:eastAsia="Arial" w:hAnsi="Arial"/>
          <w:sz w:val="20"/>
          <w:szCs w:val="20"/>
          <w:color w:val="auto"/>
        </w:rPr>
        <w:t>shall become exercisable and remain exercisable until the expiration date of such Option or SAR as provided under the terms of the applicable Award Document.</w:t>
      </w:r>
    </w:p>
    <w:p>
      <w:pPr>
        <w:spacing w:after="0" w:line="86" w:lineRule="exact"/>
        <w:rPr>
          <w:rFonts w:ascii="Arial" w:cs="Arial" w:eastAsia="Arial" w:hAnsi="Arial"/>
          <w:sz w:val="20"/>
          <w:szCs w:val="20"/>
          <w:color w:val="auto"/>
        </w:rPr>
      </w:pPr>
    </w:p>
    <w:p>
      <w:pPr>
        <w:jc w:val="both"/>
        <w:ind w:left="1700" w:right="180" w:hanging="5"/>
        <w:spacing w:after="0" w:line="239" w:lineRule="auto"/>
        <w:tabs>
          <w:tab w:leader="none" w:pos="2022" w:val="left"/>
        </w:tabs>
        <w:numPr>
          <w:ilvl w:val="2"/>
          <w:numId w:val="193"/>
        </w:numPr>
        <w:rPr>
          <w:rFonts w:ascii="Arial" w:cs="Arial" w:eastAsia="Arial" w:hAnsi="Arial"/>
          <w:sz w:val="19"/>
          <w:szCs w:val="19"/>
          <w:color w:val="auto"/>
        </w:rPr>
      </w:pPr>
      <w:r>
        <w:rPr>
          <w:rFonts w:ascii="Arial" w:cs="Arial" w:eastAsia="Arial" w:hAnsi="Arial"/>
          <w:sz w:val="19"/>
          <w:szCs w:val="19"/>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Options and SARs that vest pursuant to this Section 12(c)(i)(B) shall become exercisable and remain exercisable until the expiration date of such Option or SAR as provided under the terms of the applicable Award Document.</w:t>
      </w:r>
    </w:p>
    <w:p>
      <w:pPr>
        <w:spacing w:after="0" w:line="155" w:lineRule="exact"/>
        <w:rPr>
          <w:rFonts w:ascii="Arial" w:cs="Arial" w:eastAsia="Arial" w:hAnsi="Arial"/>
          <w:sz w:val="19"/>
          <w:szCs w:val="19"/>
          <w:color w:val="auto"/>
        </w:rPr>
      </w:pPr>
    </w:p>
    <w:p>
      <w:pPr>
        <w:ind w:left="1100" w:hanging="278"/>
        <w:spacing w:after="0"/>
        <w:tabs>
          <w:tab w:leader="none" w:pos="110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With respect to each outstanding Restricted Stock or RSU Award held by the Participant:</w:t>
      </w:r>
    </w:p>
    <w:p>
      <w:pPr>
        <w:spacing w:after="0" w:line="90" w:lineRule="exact"/>
        <w:rPr>
          <w:rFonts w:ascii="Arial" w:cs="Arial" w:eastAsia="Arial" w:hAnsi="Arial"/>
          <w:sz w:val="20"/>
          <w:szCs w:val="20"/>
          <w:color w:val="auto"/>
        </w:rPr>
      </w:pPr>
    </w:p>
    <w:p>
      <w:pPr>
        <w:jc w:val="both"/>
        <w:ind w:left="1700" w:right="180" w:hanging="5"/>
        <w:spacing w:after="0" w:line="226" w:lineRule="auto"/>
        <w:tabs>
          <w:tab w:leader="none" w:pos="2039" w:val="left"/>
        </w:tabs>
        <w:numPr>
          <w:ilvl w:val="2"/>
          <w:numId w:val="194"/>
        </w:numPr>
        <w:rPr>
          <w:rFonts w:ascii="Arial" w:cs="Arial" w:eastAsia="Arial" w:hAnsi="Arial"/>
          <w:sz w:val="20"/>
          <w:szCs w:val="20"/>
          <w:color w:val="auto"/>
        </w:rPr>
      </w:pPr>
      <w:r>
        <w:rPr>
          <w:rFonts w:ascii="Arial" w:cs="Arial" w:eastAsia="Arial" w:hAnsi="Arial"/>
          <w:sz w:val="20"/>
          <w:szCs w:val="20"/>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RSUs that vest pursuant to this Section 12(c)(ii)(A) shall be settled on the scheduled settlement date or dates as provided under the terms of the applicable Award Document.</w:t>
      </w:r>
    </w:p>
    <w:p>
      <w:pPr>
        <w:spacing w:after="0" w:line="88" w:lineRule="exact"/>
        <w:rPr>
          <w:rFonts w:ascii="Arial" w:cs="Arial" w:eastAsia="Arial" w:hAnsi="Arial"/>
          <w:sz w:val="20"/>
          <w:szCs w:val="20"/>
          <w:color w:val="auto"/>
        </w:rPr>
      </w:pPr>
    </w:p>
    <w:p>
      <w:pPr>
        <w:jc w:val="both"/>
        <w:ind w:left="1700" w:right="180" w:hanging="5"/>
        <w:spacing w:after="0" w:line="227" w:lineRule="auto"/>
        <w:tabs>
          <w:tab w:leader="none" w:pos="2022" w:val="left"/>
        </w:tabs>
        <w:numPr>
          <w:ilvl w:val="2"/>
          <w:numId w:val="194"/>
        </w:numPr>
        <w:rPr>
          <w:rFonts w:ascii="Arial" w:cs="Arial" w:eastAsia="Arial" w:hAnsi="Arial"/>
          <w:sz w:val="20"/>
          <w:szCs w:val="20"/>
          <w:color w:val="auto"/>
        </w:rPr>
      </w:pPr>
      <w:r>
        <w:rPr>
          <w:rFonts w:ascii="Arial" w:cs="Arial" w:eastAsia="Arial" w:hAnsi="Arial"/>
          <w:sz w:val="20"/>
          <w:szCs w:val="20"/>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RSUs that vest pursuant to this Section 12(c)(ii)(B) shall be settled on the scheduled settlement date or dates as provided under the terms of the applicable Award Document.</w:t>
      </w:r>
    </w:p>
    <w:p>
      <w:pPr>
        <w:spacing w:after="0" w:line="169" w:lineRule="exact"/>
        <w:rPr>
          <w:rFonts w:ascii="Arial" w:cs="Arial" w:eastAsia="Arial" w:hAnsi="Arial"/>
          <w:sz w:val="20"/>
          <w:szCs w:val="20"/>
          <w:color w:val="auto"/>
        </w:rPr>
      </w:pPr>
    </w:p>
    <w:p>
      <w:pPr>
        <w:ind w:left="1140" w:hanging="318"/>
        <w:spacing w:after="0"/>
        <w:tabs>
          <w:tab w:leader="none" w:pos="114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With respect to each outstanding Performance Award held by the Participant:</w:t>
      </w:r>
    </w:p>
    <w:p>
      <w:pPr>
        <w:spacing w:after="0" w:line="90" w:lineRule="exact"/>
        <w:rPr>
          <w:rFonts w:ascii="Arial" w:cs="Arial" w:eastAsia="Arial" w:hAnsi="Arial"/>
          <w:sz w:val="20"/>
          <w:szCs w:val="20"/>
          <w:color w:val="auto"/>
        </w:rPr>
      </w:pPr>
    </w:p>
    <w:p>
      <w:pPr>
        <w:jc w:val="both"/>
        <w:ind w:left="1700" w:right="180" w:hanging="5"/>
        <w:spacing w:after="0" w:line="238" w:lineRule="auto"/>
        <w:tabs>
          <w:tab w:leader="none" w:pos="2088" w:val="left"/>
        </w:tabs>
        <w:numPr>
          <w:ilvl w:val="2"/>
          <w:numId w:val="194"/>
        </w:numPr>
        <w:rPr>
          <w:rFonts w:ascii="Arial" w:cs="Arial" w:eastAsia="Arial" w:hAnsi="Arial"/>
          <w:sz w:val="19"/>
          <w:szCs w:val="19"/>
          <w:color w:val="auto"/>
        </w:rPr>
      </w:pPr>
      <w:r>
        <w:rPr>
          <w:rFonts w:ascii="Arial" w:cs="Arial" w:eastAsia="Arial" w:hAnsi="Arial"/>
          <w:sz w:val="19"/>
          <w:szCs w:val="19"/>
          <w:color w:val="auto"/>
        </w:rPr>
        <w:t>If such Termination of Service occurs within the first year of the Performance Period, (x) the Performance Award shall be prorated (as set forth in the Award Document) and the pro-rata portion of the Performance Award that is retained shall have any service-based vesting requirements waived, (y) the pro-rata portion of the Performance Award that is retained shall be earned based upon the achievement of the performance conditions applicable to such Award, and (z) the Performance Award shall be paid or settled on the scheduled settlement date or dates as provided under the terms of the applicable Award Document.</w:t>
      </w:r>
    </w:p>
    <w:p>
      <w:pPr>
        <w:spacing w:after="0" w:line="90" w:lineRule="exact"/>
        <w:rPr>
          <w:rFonts w:ascii="Arial" w:cs="Arial" w:eastAsia="Arial" w:hAnsi="Arial"/>
          <w:sz w:val="19"/>
          <w:szCs w:val="19"/>
          <w:color w:val="auto"/>
        </w:rPr>
      </w:pPr>
    </w:p>
    <w:p>
      <w:pPr>
        <w:jc w:val="both"/>
        <w:ind w:left="1700" w:right="180" w:hanging="5"/>
        <w:spacing w:after="0" w:line="228" w:lineRule="auto"/>
        <w:tabs>
          <w:tab w:leader="none" w:pos="2039" w:val="left"/>
        </w:tabs>
        <w:numPr>
          <w:ilvl w:val="2"/>
          <w:numId w:val="194"/>
        </w:numPr>
        <w:rPr>
          <w:rFonts w:ascii="Arial" w:cs="Arial" w:eastAsia="Arial" w:hAnsi="Arial"/>
          <w:sz w:val="20"/>
          <w:szCs w:val="20"/>
          <w:color w:val="auto"/>
        </w:rPr>
      </w:pPr>
      <w:r>
        <w:rPr>
          <w:rFonts w:ascii="Arial" w:cs="Arial" w:eastAsia="Arial" w:hAnsi="Arial"/>
          <w:sz w:val="20"/>
          <w:szCs w:val="20"/>
          <w:color w:val="auto"/>
        </w:rPr>
        <w:t>If such Termination of Service occurs after the first year of the Performance Period, the Performance Award (x) shall have any service-based vesting requirements waived, (y) shall be earned based upon the achievement of the performance conditions applicable to such Award, and (z) shall be paid or settled on the scheduled settlement date or dates as provided under the terms of the applicable Award Document.</w:t>
      </w:r>
    </w:p>
    <w:p>
      <w:pPr>
        <w:spacing w:after="0" w:line="135" w:lineRule="exact"/>
        <w:rPr>
          <w:rFonts w:ascii="Arial" w:cs="Arial" w:eastAsia="Arial" w:hAnsi="Arial"/>
          <w:sz w:val="20"/>
          <w:szCs w:val="20"/>
          <w:color w:val="auto"/>
        </w:rPr>
      </w:pPr>
    </w:p>
    <w:p>
      <w:pPr>
        <w:jc w:val="both"/>
        <w:ind w:left="160" w:right="180" w:firstLine="7"/>
        <w:spacing w:after="0" w:line="234" w:lineRule="auto"/>
        <w:tabs>
          <w:tab w:leader="none" w:pos="467" w:val="left"/>
        </w:tabs>
        <w:numPr>
          <w:ilvl w:val="0"/>
          <w:numId w:val="195"/>
        </w:numPr>
        <w:rPr>
          <w:rFonts w:ascii="Arial" w:cs="Arial" w:eastAsia="Arial" w:hAnsi="Arial"/>
          <w:sz w:val="20"/>
          <w:szCs w:val="20"/>
          <w:color w:val="auto"/>
        </w:rPr>
      </w:pPr>
      <w:r>
        <w:rPr>
          <w:rFonts w:ascii="Arial" w:cs="Arial" w:eastAsia="Arial" w:hAnsi="Arial"/>
          <w:sz w:val="20"/>
          <w:szCs w:val="20"/>
          <w:i w:val="1"/>
          <w:iCs w:val="1"/>
          <w:color w:val="auto"/>
        </w:rPr>
        <w:t>Other Terminations</w:t>
      </w:r>
      <w:r>
        <w:rPr>
          <w:rFonts w:ascii="Arial" w:cs="Arial" w:eastAsia="Arial" w:hAnsi="Arial"/>
          <w:sz w:val="20"/>
          <w:szCs w:val="20"/>
          <w:color w:val="auto"/>
        </w:rPr>
        <w:t>. In the event of a Participant’s Termination of Service for any reason not specified in this Section 12,</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Participant shall not be entitled to retain any portion of an Award;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B-11</w:t>
      </w:r>
    </w:p>
    <w:p>
      <w:pPr>
        <w:sectPr>
          <w:pgSz w:w="11900" w:h="16838" w:orient="portrait"/>
          <w:cols w:equalWidth="0" w:num="1">
            <w:col w:w="11260"/>
          </w:cols>
          <w:pgMar w:left="320" w:top="456"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jc w:val="both"/>
        <w:ind w:left="160" w:firstLine="7"/>
        <w:spacing w:after="0"/>
        <w:tabs>
          <w:tab w:leader="none" w:pos="454"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Termination Pursuant to Approved Separation Agreement or Program</w:t>
      </w:r>
      <w:r>
        <w:rPr>
          <w:rFonts w:ascii="Arial" w:cs="Arial" w:eastAsia="Arial" w:hAnsi="Arial"/>
          <w:sz w:val="19"/>
          <w:szCs w:val="19"/>
          <w:color w:val="auto"/>
        </w:rPr>
        <w:t>. Notwithstanding the above provisions, in the event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a Participant’s Termination of Service pursuant to an approved separation agreement or program, such Participant will not be entitled to retain any portion of an Award;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Option or SAR that is vested on the date of the Termination of Service shall remain outstanding and exercisable until the earlier of (i) the applicable expiration date of such Option or SAR or</w:t>
      </w:r>
    </w:p>
    <w:p>
      <w:pPr>
        <w:spacing w:after="0" w:line="1" w:lineRule="exact"/>
        <w:rPr>
          <w:rFonts w:ascii="Arial" w:cs="Arial" w:eastAsia="Arial" w:hAnsi="Arial"/>
          <w:sz w:val="19"/>
          <w:szCs w:val="19"/>
          <w:color w:val="auto"/>
        </w:rPr>
      </w:pPr>
    </w:p>
    <w:p>
      <w:pPr>
        <w:ind w:left="440" w:hanging="273"/>
        <w:spacing w:after="0"/>
        <w:tabs>
          <w:tab w:leader="none" w:pos="4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90 days after the Termination of Service.</w:t>
      </w:r>
    </w:p>
    <w:p>
      <w:pPr>
        <w:spacing w:after="0" w:line="137" w:lineRule="exact"/>
        <w:rPr>
          <w:rFonts w:ascii="Arial" w:cs="Arial" w:eastAsia="Arial" w:hAnsi="Arial"/>
          <w:sz w:val="20"/>
          <w:szCs w:val="20"/>
          <w:color w:val="auto"/>
        </w:rPr>
      </w:pPr>
    </w:p>
    <w:p>
      <w:pPr>
        <w:jc w:val="both"/>
        <w:ind w:left="160" w:firstLine="7"/>
        <w:spacing w:after="0" w:line="228" w:lineRule="auto"/>
        <w:tabs>
          <w:tab w:leader="none" w:pos="453" w:val="left"/>
        </w:tabs>
        <w:numPr>
          <w:ilvl w:val="0"/>
          <w:numId w:val="198"/>
        </w:numPr>
        <w:rPr>
          <w:rFonts w:ascii="Arial" w:cs="Arial" w:eastAsia="Arial" w:hAnsi="Arial"/>
          <w:sz w:val="20"/>
          <w:szCs w:val="20"/>
          <w:color w:val="auto"/>
        </w:rPr>
      </w:pPr>
      <w:r>
        <w:rPr>
          <w:rFonts w:ascii="Arial" w:cs="Arial" w:eastAsia="Arial" w:hAnsi="Arial"/>
          <w:sz w:val="20"/>
          <w:szCs w:val="20"/>
          <w:i w:val="1"/>
          <w:iCs w:val="1"/>
          <w:color w:val="auto"/>
        </w:rPr>
        <w:t>Alternative Treatment</w:t>
      </w:r>
      <w:r>
        <w:rPr>
          <w:rFonts w:ascii="Arial" w:cs="Arial" w:eastAsia="Arial" w:hAnsi="Arial"/>
          <w:sz w:val="20"/>
          <w:szCs w:val="20"/>
          <w:color w:val="auto"/>
        </w:rPr>
        <w:t>. Notwithstanding the foregoing, the Committee may provide for any alternative treatment of</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Awards, and the circumstances in which, and the extent to which, any such Awards may be exercised, settled, vested, paid or forfeited in the event of a Participant’s Termination of Service prior to the end of a Performance Period or the exercise, vesting or settlement of such Award, either in an Award Document or, subject to Section 15, by Committee action after the grant of an Award. Unless otherwise provided in an Award Document or otherwise determined by the Committee, a qualifying leave of absence shall not constitute a Termination of Service. A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i w:val="1"/>
          <w:iCs w:val="1"/>
          <w:color w:val="auto"/>
        </w:rPr>
        <w:t>Effect of a Change in Control on Awards.</w:t>
      </w:r>
    </w:p>
    <w:p>
      <w:pPr>
        <w:spacing w:after="0" w:line="115" w:lineRule="exact"/>
        <w:rPr>
          <w:sz w:val="20"/>
          <w:szCs w:val="20"/>
          <w:color w:val="auto"/>
        </w:rPr>
      </w:pPr>
    </w:p>
    <w:p>
      <w:pPr>
        <w:jc w:val="both"/>
        <w:ind w:left="160" w:firstLine="7"/>
        <w:spacing w:after="0" w:line="230" w:lineRule="auto"/>
        <w:tabs>
          <w:tab w:leader="none" w:pos="47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In the event of a Change in Control, unless otherwise provided in an Award Document, outstanding Options and SARs shall be treated as described in subsection (i) below, outstanding Restricted Stock and RSUs shall be treated as described in subsection (ii) below and outstanding Performance Awards shall be treated as described in subsection (iii) below.</w:t>
      </w:r>
    </w:p>
    <w:p>
      <w:pPr>
        <w:spacing w:after="0" w:line="87" w:lineRule="exact"/>
        <w:rPr>
          <w:rFonts w:ascii="Arial" w:cs="Arial" w:eastAsia="Arial" w:hAnsi="Arial"/>
          <w:sz w:val="20"/>
          <w:szCs w:val="20"/>
          <w:color w:val="auto"/>
        </w:rPr>
      </w:pPr>
    </w:p>
    <w:p>
      <w:pPr>
        <w:jc w:val="both"/>
        <w:ind w:left="820" w:firstLine="2"/>
        <w:spacing w:after="0" w:line="226" w:lineRule="auto"/>
        <w:tabs>
          <w:tab w:leader="none" w:pos="106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 If in connection with the Change in Control, any outstanding Option or SAR is continued in effect or converted into an option to purchase or right with respect to stock of the successor or surviving corporation (or a parent or subsidiary thereof) which conversion shall comply with Sections 424 (to the extent applicable) and 409A of the Code, then upon the occurrence of a Termination of Service of a Participant by the Company without Cause or a Termination of Service by such Participant for Good Reason within 24 months following the Change in Control, such Option(s) or SAR(s) held by such Participant shall vest and become exercisable and shall remain exercisable until the earlier of the expiration of its full specified term or the first anniversary of such Termination of Service.</w:t>
      </w:r>
    </w:p>
    <w:p>
      <w:pPr>
        <w:spacing w:after="0" w:line="88" w:lineRule="exact"/>
        <w:rPr>
          <w:rFonts w:ascii="Arial" w:cs="Arial" w:eastAsia="Arial" w:hAnsi="Arial"/>
          <w:sz w:val="20"/>
          <w:szCs w:val="20"/>
          <w:color w:val="auto"/>
        </w:rPr>
      </w:pPr>
    </w:p>
    <w:p>
      <w:pPr>
        <w:jc w:val="both"/>
        <w:ind w:left="820" w:firstLine="392"/>
        <w:spacing w:after="0" w:line="227" w:lineRule="auto"/>
        <w:tabs>
          <w:tab w:leader="none" w:pos="1536" w:val="left"/>
        </w:tabs>
        <w:numPr>
          <w:ilvl w:val="2"/>
          <w:numId w:val="199"/>
        </w:numPr>
        <w:rPr>
          <w:rFonts w:ascii="Arial" w:cs="Arial" w:eastAsia="Arial" w:hAnsi="Arial"/>
          <w:sz w:val="20"/>
          <w:szCs w:val="20"/>
          <w:color w:val="auto"/>
        </w:rPr>
      </w:pPr>
      <w:r>
        <w:rPr>
          <w:rFonts w:ascii="Arial" w:cs="Arial" w:eastAsia="Arial" w:hAnsi="Arial"/>
          <w:sz w:val="20"/>
          <w:szCs w:val="20"/>
          <w:color w:val="auto"/>
        </w:rPr>
        <w:t>If outstanding Options or SARs are not continued or converted as described in subsection (i)(A) above,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89" w:lineRule="exact"/>
        <w:rPr>
          <w:rFonts w:ascii="Arial" w:cs="Arial" w:eastAsia="Arial" w:hAnsi="Arial"/>
          <w:sz w:val="20"/>
          <w:szCs w:val="20"/>
          <w:color w:val="auto"/>
        </w:rPr>
      </w:pPr>
    </w:p>
    <w:p>
      <w:pPr>
        <w:jc w:val="both"/>
        <w:ind w:left="820" w:firstLine="2"/>
        <w:spacing w:after="0" w:line="226" w:lineRule="auto"/>
        <w:tabs>
          <w:tab w:leader="none" w:pos="1104"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 If in connection with the Change in Control, any outstanding Restricted Stock or RSU is continued in effect or converted into a restricted stock or unit representing an interest in stock of the successor or surviving corporation (or a parent or subsidiary thereof) on a basis substantially equivalent to the consideration received by stockholders of the Company in connection with the Change in Control, then upon the occurrence of a Termination of Service of a Participant by the Company without Cause or a Termination of Service by such Participant for Good Reason within 24 months following the Change in Control, such restricted stock or unit(s) held by such Participant shall vest and, in the case of units, be immediately due and payable.</w:t>
      </w:r>
    </w:p>
    <w:p>
      <w:pPr>
        <w:spacing w:after="0" w:line="89" w:lineRule="exact"/>
        <w:rPr>
          <w:sz w:val="20"/>
          <w:szCs w:val="20"/>
          <w:color w:val="auto"/>
        </w:rPr>
      </w:pPr>
    </w:p>
    <w:p>
      <w:pPr>
        <w:jc w:val="both"/>
        <w:ind w:left="820" w:firstLine="478"/>
        <w:spacing w:after="0" w:line="230" w:lineRule="auto"/>
        <w:tabs>
          <w:tab w:leader="none" w:pos="163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If outstanding Restricted Stock or RSUs are not continued or converted as described in subsection (ii)(A) above, such Restricted Stock or RSUs shall vest and, in the case of RSUs, be due and payable effective immediately prior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83185</wp:posOffset>
            </wp:positionV>
            <wp:extent cx="6793865" cy="1016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4"/>
          <w:szCs w:val="14"/>
          <w:color w:val="0033A0"/>
        </w:rPr>
        <w:t>B-12</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820" w:right="180" w:firstLine="2"/>
        <w:spacing w:after="0" w:line="237" w:lineRule="auto"/>
        <w:tabs>
          <w:tab w:leader="none" w:pos="117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occurrence of a Termination of Service of a Participant by the Company without Cause or a Termination of Service by such Participant for Good Reason within 24 months following the Change in Control, any service vesting requirements applicable to any such converted Award shall be deemed to have been met and such converted Award shall be immediately paid or settled upon such Termination of Service.</w:t>
      </w:r>
    </w:p>
    <w:p>
      <w:pPr>
        <w:spacing w:after="0" w:line="154" w:lineRule="exact"/>
        <w:rPr>
          <w:sz w:val="20"/>
          <w:szCs w:val="20"/>
          <w:color w:val="auto"/>
        </w:rPr>
      </w:pPr>
    </w:p>
    <w:p>
      <w:pPr>
        <w:jc w:val="both"/>
        <w:ind w:left="160" w:right="180"/>
        <w:spacing w:after="0" w:line="228" w:lineRule="auto"/>
        <w:rPr>
          <w:sz w:val="20"/>
          <w:szCs w:val="20"/>
          <w:color w:val="auto"/>
        </w:rPr>
      </w:pPr>
      <w:r>
        <w:rPr>
          <w:rFonts w:ascii="Arial" w:cs="Arial" w:eastAsia="Arial" w:hAnsi="Arial"/>
          <w:sz w:val="20"/>
          <w:szCs w:val="20"/>
          <w:color w:val="auto"/>
        </w:rPr>
        <w:t>For purposes of subsections (i) and (ii) above, no Option, SAR, Restricted Stock or RSU (including Performance Awards denominated in any of the foregoing forms) shall be treated as “continued or converted” on a basis consistent with the requirements of subsection (i)(A) or (ii)(A), as applicable, unless the stock underlying such award after such continuation or conversion consists of securities of a class that is widely held and publicly traded on a U.S. national securities exchange.</w:t>
      </w:r>
    </w:p>
    <w:p>
      <w:pPr>
        <w:spacing w:after="0" w:line="169" w:lineRule="exact"/>
        <w:rPr>
          <w:sz w:val="20"/>
          <w:szCs w:val="20"/>
          <w:color w:val="auto"/>
        </w:rPr>
      </w:pPr>
    </w:p>
    <w:p>
      <w:pPr>
        <w:jc w:val="both"/>
        <w:ind w:left="160" w:right="180" w:firstLine="7"/>
        <w:spacing w:after="0" w:line="227" w:lineRule="auto"/>
        <w:tabs>
          <w:tab w:leader="none" w:pos="46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 addition, in the event of a Change in Control and to the extent not less favorable to a Participant than the provisions of Section 13(a) above or the applicable Award Document, the Committee, and on such terms and conditions as it deems appropriate, either by the terms of the Award or by action taken prior to the occurrence of such Change in Control,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w:t>
      </w:r>
    </w:p>
    <w:p>
      <w:pPr>
        <w:spacing w:after="0" w:line="85" w:lineRule="exact"/>
        <w:rPr>
          <w:rFonts w:ascii="Arial" w:cs="Arial" w:eastAsia="Arial" w:hAnsi="Arial"/>
          <w:sz w:val="20"/>
          <w:szCs w:val="20"/>
          <w:color w:val="auto"/>
        </w:rPr>
      </w:pPr>
    </w:p>
    <w:p>
      <w:pPr>
        <w:jc w:val="both"/>
        <w:ind w:left="820" w:right="180" w:firstLine="2"/>
        <w:spacing w:after="0" w:line="228" w:lineRule="auto"/>
        <w:tabs>
          <w:tab w:leader="none" w:pos="106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to terminate or cancel any outstanding Award in exchange for a cash payment (and, for the avoidance of doubt, if as of the date of the Change in Control, the Committee determines that no amount would have been realized upon the exercise of the Award or other realization of the Participant’s rights, then the Award may be cancelled by the Company without payment of consideration);</w:t>
      </w:r>
    </w:p>
    <w:p>
      <w:pPr>
        <w:spacing w:after="0" w:line="88" w:lineRule="exact"/>
        <w:rPr>
          <w:rFonts w:ascii="Arial" w:cs="Arial" w:eastAsia="Arial" w:hAnsi="Arial"/>
          <w:sz w:val="20"/>
          <w:szCs w:val="20"/>
          <w:color w:val="auto"/>
        </w:rPr>
      </w:pPr>
    </w:p>
    <w:p>
      <w:pPr>
        <w:jc w:val="both"/>
        <w:ind w:left="820" w:right="180" w:firstLine="2"/>
        <w:spacing w:after="0" w:line="226" w:lineRule="auto"/>
        <w:tabs>
          <w:tab w:leader="none" w:pos="1095"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88" w:lineRule="exact"/>
        <w:rPr>
          <w:rFonts w:ascii="Arial" w:cs="Arial" w:eastAsia="Arial" w:hAnsi="Arial"/>
          <w:sz w:val="20"/>
          <w:szCs w:val="20"/>
          <w:color w:val="auto"/>
        </w:rPr>
      </w:pPr>
    </w:p>
    <w:p>
      <w:pPr>
        <w:jc w:val="both"/>
        <w:ind w:left="820" w:right="180" w:firstLine="2"/>
        <w:spacing w:after="0" w:line="230" w:lineRule="auto"/>
        <w:tabs>
          <w:tab w:leader="none" w:pos="1139"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 and</w:t>
      </w:r>
    </w:p>
    <w:p>
      <w:pPr>
        <w:spacing w:after="0" w:line="87" w:lineRule="exact"/>
        <w:rPr>
          <w:rFonts w:ascii="Arial" w:cs="Arial" w:eastAsia="Arial" w:hAnsi="Arial"/>
          <w:sz w:val="20"/>
          <w:szCs w:val="20"/>
          <w:color w:val="auto"/>
        </w:rPr>
      </w:pPr>
    </w:p>
    <w:p>
      <w:pPr>
        <w:jc w:val="both"/>
        <w:ind w:left="820" w:right="180" w:firstLine="2"/>
        <w:spacing w:after="0" w:line="253" w:lineRule="auto"/>
        <w:tabs>
          <w:tab w:leader="none" w:pos="1158" w:val="left"/>
        </w:tabs>
        <w:numPr>
          <w:ilvl w:val="1"/>
          <w:numId w:val="202"/>
        </w:numPr>
        <w:rPr>
          <w:rFonts w:ascii="Arial" w:cs="Arial" w:eastAsia="Arial" w:hAnsi="Arial"/>
          <w:sz w:val="19"/>
          <w:szCs w:val="19"/>
          <w:color w:val="auto"/>
        </w:rPr>
      </w:pPr>
      <w:r>
        <w:rPr>
          <w:rFonts w:ascii="Arial" w:cs="Arial" w:eastAsia="Arial" w:hAnsi="Arial"/>
          <w:sz w:val="19"/>
          <w:szCs w:val="19"/>
          <w:color w:val="auto"/>
        </w:rPr>
        <w:t>to provide that any Award shall be accelerated and become exercisable, payable and/or fully vested with respect to all Shares covered thereby, notwithstanding anything to the contrary in the Plan or the applicable Award Document.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i w:val="1"/>
          <w:iCs w:val="1"/>
          <w:color w:val="auto"/>
        </w:rPr>
        <w:t>General Provisions Applicable to Awards.</w:t>
      </w:r>
    </w:p>
    <w:p>
      <w:pPr>
        <w:spacing w:after="0" w:line="115" w:lineRule="exact"/>
        <w:rPr>
          <w:sz w:val="20"/>
          <w:szCs w:val="20"/>
          <w:color w:val="auto"/>
        </w:rPr>
      </w:pPr>
    </w:p>
    <w:p>
      <w:pPr>
        <w:ind w:left="160" w:right="200" w:firstLine="7"/>
        <w:spacing w:after="0" w:line="234" w:lineRule="auto"/>
        <w:tabs>
          <w:tab w:leader="none" w:pos="5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Awards shall be granted for no cash consideration or for such minimal cash consideration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82550</wp:posOffset>
            </wp:positionV>
            <wp:extent cx="6793865" cy="1016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B-13</w:t>
      </w:r>
    </w:p>
    <w:p>
      <w:pPr>
        <w:sectPr>
          <w:pgSz w:w="11900" w:h="16838" w:orient="portrait"/>
          <w:cols w:equalWidth="0" w:num="1">
            <w:col w:w="11260"/>
          </w:cols>
          <w:pgMar w:left="320" w:top="456"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jc w:val="both"/>
        <w:ind w:left="160" w:right="140" w:firstLine="7"/>
        <w:spacing w:after="0" w:line="228" w:lineRule="auto"/>
        <w:tabs>
          <w:tab w:leader="none" w:pos="481"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55" w:lineRule="exact"/>
        <w:rPr>
          <w:rFonts w:ascii="Arial" w:cs="Arial" w:eastAsia="Arial" w:hAnsi="Arial"/>
          <w:sz w:val="20"/>
          <w:szCs w:val="20"/>
          <w:color w:val="auto"/>
        </w:rPr>
      </w:pPr>
    </w:p>
    <w:p>
      <w:pPr>
        <w:jc w:val="both"/>
        <w:ind w:left="160" w:right="140" w:firstLine="7"/>
        <w:spacing w:after="0" w:line="227" w:lineRule="auto"/>
        <w:tabs>
          <w:tab w:leader="none" w:pos="44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65" w:lineRule="exact"/>
        <w:rPr>
          <w:rFonts w:ascii="Arial" w:cs="Arial" w:eastAsia="Arial" w:hAnsi="Arial"/>
          <w:sz w:val="20"/>
          <w:szCs w:val="20"/>
          <w:color w:val="auto"/>
        </w:rPr>
      </w:pPr>
    </w:p>
    <w:p>
      <w:pPr>
        <w:jc w:val="both"/>
        <w:ind w:left="160" w:right="140" w:firstLine="7"/>
        <w:spacing w:after="0" w:line="224" w:lineRule="auto"/>
        <w:tabs>
          <w:tab w:leader="none" w:pos="47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Except pursuant to Section 14(f) or the laws of descent, no Award and no right under any Award may be voluntarily or involuntarily assigned, alienated, sold or transferred, including as between spouses or pursuant to a domestic relations order in connection with dissolution of marriage, or by operation of law. An Award, and any rights under an Award, shall be exercisable only by the Participant during the Participant’s lifetime unless a court of competent jurisdiction determines that the Participant lacks the capacity to handle his or her own affairs, in which case an Award or any rights under an Award may be exercised by the person to whom such court has expressly granted authority to exercise such Award or the rights under such Award on the Participant’s behalf. After the Participant’s lifetime, an Award and any rights under an Award shall be exercisable only by the designated Beneficiary, by the person who obtains an interest pursuant to laws of descent or by the Participant’s estate. In the event a person who so obtains an interest in an Award is determined by a court of competent jurisdiction to lack the capacity to handle his or her own affairs, an Award or any rights under an Award may be exercised by the person to whom such court has expressly granted authority to exercise such Award or the rights under such Award on the person’s behalf. The Plan shall not recognize any grant of authority to exercise an Award or any rights under an Award except as set forth in this Section 14(d). The provisions of this Section 14(d) shall not apply to any Award that has been fully exercised or settled, as the case may be, and shall not preclude forfeiture of an Award in accordance with the terms thereof or of the Plan.</w:t>
      </w:r>
    </w:p>
    <w:p>
      <w:pPr>
        <w:spacing w:after="0" w:line="204" w:lineRule="exact"/>
        <w:rPr>
          <w:rFonts w:ascii="Arial" w:cs="Arial" w:eastAsia="Arial" w:hAnsi="Arial"/>
          <w:sz w:val="20"/>
          <w:szCs w:val="20"/>
          <w:color w:val="auto"/>
        </w:rPr>
      </w:pPr>
    </w:p>
    <w:p>
      <w:pPr>
        <w:jc w:val="both"/>
        <w:ind w:left="160" w:right="140" w:firstLine="7"/>
        <w:spacing w:after="0" w:line="230" w:lineRule="auto"/>
        <w:tabs>
          <w:tab w:leader="none" w:pos="47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Notwithstanding any other provision of the Plan, the Committee may determine at any time and in its sole discretion to delay any amounts payable with respect to any Award, provided that such Award is payable no later than December 31 of the year following the end of the applicable Performance Period.</w:t>
      </w:r>
    </w:p>
    <w:p>
      <w:pPr>
        <w:spacing w:after="0" w:line="154" w:lineRule="exact"/>
        <w:rPr>
          <w:rFonts w:ascii="Arial" w:cs="Arial" w:eastAsia="Arial" w:hAnsi="Arial"/>
          <w:sz w:val="20"/>
          <w:szCs w:val="20"/>
          <w:color w:val="auto"/>
        </w:rPr>
      </w:pPr>
    </w:p>
    <w:p>
      <w:pPr>
        <w:ind w:left="160" w:right="140" w:firstLine="7"/>
        <w:spacing w:after="0" w:line="234" w:lineRule="auto"/>
        <w:tabs>
          <w:tab w:leader="none" w:pos="417"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53" w:lineRule="exact"/>
        <w:rPr>
          <w:rFonts w:ascii="Arial" w:cs="Arial" w:eastAsia="Arial" w:hAnsi="Arial"/>
          <w:sz w:val="20"/>
          <w:szCs w:val="20"/>
          <w:color w:val="auto"/>
        </w:rPr>
      </w:pPr>
    </w:p>
    <w:p>
      <w:pPr>
        <w:ind w:left="160" w:right="140" w:firstLine="7"/>
        <w:spacing w:after="0" w:line="234" w:lineRule="auto"/>
        <w:tabs>
          <w:tab w:leader="none" w:pos="46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Awards granted under the Plan (including any amounts or benefits arising from such Awards) shall be subject to any clawback or recoupment policies the Company has in place from time to time.</w:t>
      </w:r>
    </w:p>
    <w:p>
      <w:pPr>
        <w:spacing w:after="0" w:line="166" w:lineRule="exact"/>
        <w:rPr>
          <w:rFonts w:ascii="Arial" w:cs="Arial" w:eastAsia="Arial" w:hAnsi="Arial"/>
          <w:sz w:val="20"/>
          <w:szCs w:val="20"/>
          <w:color w:val="auto"/>
        </w:rPr>
      </w:pPr>
    </w:p>
    <w:p>
      <w:pPr>
        <w:jc w:val="both"/>
        <w:ind w:left="160" w:right="140" w:firstLine="7"/>
        <w:spacing w:after="0" w:line="227" w:lineRule="auto"/>
        <w:tabs>
          <w:tab w:leader="none" w:pos="4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Subject to the requirements of Section 409A of the Code, if the Company or any Subsidiary has any unpaid claim against a Participant arising out of or in connection with the Participant’s employment or service with the Company or any Subsidiary, prior to settlement of an Award, such claim may be offset against Awards under this Plan (up to $5,000 per year) and at the time of vesting or settlement of any Award, such claim may be offset in total. Such claims may include, but are not limited to, unpaid taxes or corporate business credit card charges.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15. </w:t>
      </w:r>
      <w:r>
        <w:rPr>
          <w:rFonts w:ascii="Arial" w:cs="Arial" w:eastAsia="Arial" w:hAnsi="Arial"/>
          <w:sz w:val="20"/>
          <w:szCs w:val="20"/>
          <w:i w:val="1"/>
          <w:iCs w:val="1"/>
          <w:color w:val="auto"/>
        </w:rPr>
        <w:t>Amendments and Termination.</w:t>
      </w:r>
    </w:p>
    <w:p>
      <w:pPr>
        <w:spacing w:after="0" w:line="115" w:lineRule="exact"/>
        <w:rPr>
          <w:sz w:val="20"/>
          <w:szCs w:val="20"/>
          <w:color w:val="auto"/>
        </w:rPr>
      </w:pPr>
    </w:p>
    <w:p>
      <w:pPr>
        <w:ind w:left="160" w:right="140" w:firstLine="7"/>
        <w:spacing w:after="0" w:line="234" w:lineRule="auto"/>
        <w:tabs>
          <w:tab w:leader="none" w:pos="456" w:val="left"/>
        </w:tabs>
        <w:numPr>
          <w:ilvl w:val="0"/>
          <w:numId w:val="205"/>
        </w:numPr>
        <w:rPr>
          <w:rFonts w:ascii="Arial" w:cs="Arial" w:eastAsia="Arial" w:hAnsi="Arial"/>
          <w:sz w:val="20"/>
          <w:szCs w:val="20"/>
          <w:color w:val="auto"/>
        </w:rPr>
      </w:pPr>
      <w:r>
        <w:rPr>
          <w:rFonts w:ascii="Arial" w:cs="Arial" w:eastAsia="Arial" w:hAnsi="Arial"/>
          <w:sz w:val="20"/>
          <w:szCs w:val="20"/>
          <w:color w:val="auto"/>
        </w:rPr>
        <w:t>Except to the extent prohibited by applicable law and unless otherwise expressly provided in an Award Document or in the Plan, the Board may amend, alter, suspend, discontinue or terminate the Plan or any portion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B-14 </w:t>
      </w:r>
      <w:r>
        <w:rPr>
          <w:sz w:val="1"/>
          <w:szCs w:val="1"/>
          <w:color w:val="auto"/>
        </w:rPr>
        <w:drawing>
          <wp:inline distT="0" distB="0" distL="0" distR="0">
            <wp:extent cx="6793865" cy="10160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220"/>
          </w:cols>
          <w:pgMar w:left="320" w:top="456"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jc w:val="both"/>
        <w:ind w:left="160" w:right="180"/>
        <w:spacing w:after="0" w:line="238" w:lineRule="auto"/>
        <w:rPr>
          <w:sz w:val="20"/>
          <w:szCs w:val="20"/>
          <w:color w:val="auto"/>
        </w:rPr>
      </w:pPr>
      <w:r>
        <w:rPr>
          <w:rFonts w:ascii="Arial" w:cs="Arial" w:eastAsia="Arial" w:hAnsi="Arial"/>
          <w:sz w:val="19"/>
          <w:szCs w:val="19"/>
          <w:color w:val="auto"/>
        </w:rPr>
        <w:t xml:space="preserve">thereof at any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amendment, alteration, suspension, discontinuation or termination shall be made without (i) stockholder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(A) to the extent any such amendment, alteration, suspension, discontinuance or termination is made to cause the Plan to comply with applicable law, stock market or exchange rules and regulations or accounting or tax rules and regulations, (B) to impose any clawback or recoupment provisions with respect to any Awards (including any amounts or benefits arising from such Awards) adopted by the Company from time to time, or (C) as the Board determines in good faith to be in the best interests of the Participants affected thereby. Notwithstanding anything to the contrary in the Plan, the Committee may amend the Plan, or create sub-plans, in such manner as may be necessary to enable the Plan to achieve its stated purposes in any jurisdiction in a tax-efficient manner and in compliance with local rules and regulations to the extent that such action would not require shareholder approval. The Committee may correct any defect, supply any omission or reconcile any inconsistency in the Plan or any Award in the manner and to the extent it shall deem desirable to carry the Plan into effect.</w:t>
      </w:r>
    </w:p>
    <w:p>
      <w:pPr>
        <w:spacing w:after="0" w:line="159" w:lineRule="exact"/>
        <w:rPr>
          <w:sz w:val="20"/>
          <w:szCs w:val="20"/>
          <w:color w:val="auto"/>
        </w:rPr>
      </w:pPr>
    </w:p>
    <w:p>
      <w:pPr>
        <w:jc w:val="both"/>
        <w:ind w:left="160" w:right="180" w:firstLine="7"/>
        <w:spacing w:after="0" w:line="237" w:lineRule="auto"/>
        <w:tabs>
          <w:tab w:leader="none" w:pos="46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The Committee may waive any conditions or rights under, amend any terms of, or amend, alter, suspend, discontinue or terminate any provision of the Plan or any Award theretofore granted, prospectively or retroactively, without the consent of any relevant Participant or holder or Beneficiary of an Award;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action shall materially adversely affect the rights of any affected Participant or holder or Beneficiary under any Award theretofore granted under the Plan, except (i) to the extent any such action is made to cause the Plan to comply with applicable law, stock market or exchange rules and regulations or accounting or tax rules and regulations, (ii) to impose any clawback or recoupment provisions with respect to any Awards (including any amounts or benefits arising from such Awards) adopted by the Company from time to time, or (iii) as the Committee determines in good faith to be in the best interests of the Participants affected thereby.</w:t>
      </w:r>
    </w:p>
    <w:p>
      <w:pPr>
        <w:spacing w:after="0" w:line="173" w:lineRule="exact"/>
        <w:rPr>
          <w:rFonts w:ascii="Arial" w:cs="Arial" w:eastAsia="Arial" w:hAnsi="Arial"/>
          <w:sz w:val="19"/>
          <w:szCs w:val="19"/>
          <w:color w:val="auto"/>
        </w:rPr>
      </w:pPr>
    </w:p>
    <w:p>
      <w:pPr>
        <w:jc w:val="both"/>
        <w:ind w:left="160" w:right="180" w:firstLine="7"/>
        <w:spacing w:after="0" w:line="225" w:lineRule="auto"/>
        <w:tabs>
          <w:tab w:leader="none" w:pos="45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Committee may specify in an Award Document that the Participant’s rights, payments and benefits with respect to an Award shall be subject to reduction, cancellation, forfeiture or recoupment upon the occurrence of certain specified events, in addition to the conditions set forth in Section 11 and any otherwise applicable vesting or performance conditions of an Award. Such events may include (without limitation)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determined in the sole discretion of the Committee to be detrimental to the business or reputation of the Company and/or its Subsidiaries.</w:t>
      </w:r>
    </w:p>
    <w:p>
      <w:pPr>
        <w:spacing w:after="0" w:line="157" w:lineRule="exact"/>
        <w:rPr>
          <w:rFonts w:ascii="Arial" w:cs="Arial" w:eastAsia="Arial" w:hAnsi="Arial"/>
          <w:sz w:val="20"/>
          <w:szCs w:val="20"/>
          <w:color w:val="auto"/>
        </w:rPr>
      </w:pPr>
    </w:p>
    <w:p>
      <w:pPr>
        <w:jc w:val="both"/>
        <w:ind w:left="160" w:right="180" w:firstLine="7"/>
        <w:spacing w:after="0" w:line="227" w:lineRule="auto"/>
        <w:tabs>
          <w:tab w:leader="none" w:pos="48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Notwithstanding the foregoing, except as provided in Section 5(c) or in connection with a Change in Control, without approval of the Company’s stockholders, (i) no action shall directly or indirectly, through cancellation and regrant, through voluntary surrender and regrant, or any other method, reduce, or have the effect of reducing, the exercise price of any Option or SAR established at the time of grant thereof, and (ii) no Option or SAR may be cancelled in exchange for cash or other securities at any time when the exercise price for such Option or SAR is greater than the Fair Market Value of the Shares underlying such Option or SAR.</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16. </w:t>
      </w:r>
      <w:r>
        <w:rPr>
          <w:rFonts w:ascii="Arial" w:cs="Arial" w:eastAsia="Arial" w:hAnsi="Arial"/>
          <w:sz w:val="20"/>
          <w:szCs w:val="20"/>
          <w:i w:val="1"/>
          <w:iCs w:val="1"/>
          <w:color w:val="auto"/>
        </w:rPr>
        <w:t>Miscellaneous.</w:t>
      </w:r>
    </w:p>
    <w:p>
      <w:pPr>
        <w:spacing w:after="0" w:line="115" w:lineRule="exact"/>
        <w:rPr>
          <w:sz w:val="20"/>
          <w:szCs w:val="20"/>
          <w:color w:val="auto"/>
        </w:rPr>
      </w:pPr>
    </w:p>
    <w:p>
      <w:pPr>
        <w:jc w:val="both"/>
        <w:ind w:left="160" w:right="180" w:firstLine="7"/>
        <w:spacing w:after="0" w:line="230" w:lineRule="auto"/>
        <w:tabs>
          <w:tab w:leader="none" w:pos="47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793865" cy="1016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B-15</w:t>
      </w:r>
    </w:p>
    <w:p>
      <w:pPr>
        <w:sectPr>
          <w:pgSz w:w="11900" w:h="16838" w:orient="portrait"/>
          <w:cols w:equalWidth="0" w:num="1">
            <w:col w:w="11260"/>
          </w:cols>
          <w:pgMar w:left="320" w:top="456"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0"/>
        <w:spacing w:after="0"/>
        <w:tabs>
          <w:tab w:leader="none" w:pos="338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0" w:lineRule="exact"/>
        <w:rPr>
          <w:sz w:val="20"/>
          <w:szCs w:val="20"/>
          <w:color w:val="auto"/>
        </w:rPr>
      </w:pPr>
    </w:p>
    <w:p>
      <w:pPr>
        <w:ind w:left="160" w:right="140"/>
        <w:spacing w:after="0" w:line="234" w:lineRule="auto"/>
        <w:rPr>
          <w:sz w:val="20"/>
          <w:szCs w:val="20"/>
          <w:color w:val="auto"/>
        </w:rPr>
      </w:pPr>
      <w:r>
        <w:rPr>
          <w:rFonts w:ascii="Arial" w:cs="Arial" w:eastAsia="Arial" w:hAnsi="Arial"/>
          <w:sz w:val="20"/>
          <w:szCs w:val="20"/>
          <w:color w:val="auto"/>
        </w:rPr>
        <w:t>be the same with respect to each recipient. Any Award granted under the Plan shall be a one-time Award that does not constitute a promise of future grants. The Committee maintains the right to make available future grants under the Plan.</w:t>
      </w:r>
    </w:p>
    <w:p>
      <w:pPr>
        <w:spacing w:after="0" w:line="153" w:lineRule="exact"/>
        <w:rPr>
          <w:sz w:val="20"/>
          <w:szCs w:val="20"/>
          <w:color w:val="auto"/>
        </w:rPr>
      </w:pPr>
    </w:p>
    <w:p>
      <w:pPr>
        <w:jc w:val="both"/>
        <w:ind w:left="160" w:right="140" w:firstLine="7"/>
        <w:spacing w:after="0" w:line="227" w:lineRule="auto"/>
        <w:tabs>
          <w:tab w:leader="none" w:pos="48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69" w:lineRule="exact"/>
        <w:rPr>
          <w:rFonts w:ascii="Arial" w:cs="Arial" w:eastAsia="Arial" w:hAnsi="Arial"/>
          <w:sz w:val="20"/>
          <w:szCs w:val="20"/>
          <w:color w:val="auto"/>
        </w:rPr>
      </w:pPr>
    </w:p>
    <w:p>
      <w:pPr>
        <w:jc w:val="both"/>
        <w:ind w:left="160" w:right="140" w:firstLine="7"/>
        <w:spacing w:after="0" w:line="230" w:lineRule="auto"/>
        <w:tabs>
          <w:tab w:leader="none" w:pos="45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Nothing contained in the Plan shall prevent the Committee or the Company from adopting or continuing in effect other or additional compensation arrangements (including Share-based arrangements), and such arrangements may be either generally applicable or applicable only in specific cases.</w:t>
      </w:r>
    </w:p>
    <w:p>
      <w:pPr>
        <w:spacing w:after="0" w:line="154" w:lineRule="exact"/>
        <w:rPr>
          <w:rFonts w:ascii="Arial" w:cs="Arial" w:eastAsia="Arial" w:hAnsi="Arial"/>
          <w:sz w:val="20"/>
          <w:szCs w:val="20"/>
          <w:color w:val="auto"/>
        </w:rPr>
      </w:pPr>
    </w:p>
    <w:p>
      <w:pPr>
        <w:jc w:val="both"/>
        <w:ind w:left="160" w:right="140" w:firstLine="7"/>
        <w:spacing w:after="0" w:line="238" w:lineRule="auto"/>
        <w:tabs>
          <w:tab w:leader="none" w:pos="45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spacing w:after="0" w:line="157" w:lineRule="exact"/>
        <w:rPr>
          <w:rFonts w:ascii="Arial" w:cs="Arial" w:eastAsia="Arial" w:hAnsi="Arial"/>
          <w:sz w:val="19"/>
          <w:szCs w:val="19"/>
          <w:color w:val="auto"/>
        </w:rPr>
      </w:pPr>
    </w:p>
    <w:p>
      <w:pPr>
        <w:jc w:val="both"/>
        <w:ind w:left="160" w:right="140" w:firstLine="7"/>
        <w:spacing w:after="0" w:line="227" w:lineRule="auto"/>
        <w:tabs>
          <w:tab w:leader="none" w:pos="465"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sole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65" w:lineRule="exact"/>
        <w:rPr>
          <w:rFonts w:ascii="Arial" w:cs="Arial" w:eastAsia="Arial" w:hAnsi="Arial"/>
          <w:sz w:val="20"/>
          <w:szCs w:val="20"/>
          <w:color w:val="auto"/>
        </w:rPr>
      </w:pPr>
    </w:p>
    <w:p>
      <w:pPr>
        <w:jc w:val="both"/>
        <w:ind w:left="160" w:right="140" w:firstLine="7"/>
        <w:spacing w:after="0" w:line="228" w:lineRule="auto"/>
        <w:tabs>
          <w:tab w:leader="none" w:pos="41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5" w:lineRule="exact"/>
        <w:rPr>
          <w:rFonts w:ascii="Arial" w:cs="Arial" w:eastAsia="Arial" w:hAnsi="Arial"/>
          <w:sz w:val="20"/>
          <w:szCs w:val="20"/>
          <w:color w:val="auto"/>
        </w:rPr>
      </w:pPr>
    </w:p>
    <w:p>
      <w:pPr>
        <w:jc w:val="both"/>
        <w:ind w:left="160" w:right="140" w:firstLine="7"/>
        <w:spacing w:after="0" w:line="230" w:lineRule="auto"/>
        <w:tabs>
          <w:tab w:leader="none" w:pos="46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cancelled, terminated or otherwise eliminated.</w:t>
      </w:r>
    </w:p>
    <w:p>
      <w:pPr>
        <w:spacing w:after="0" w:line="154" w:lineRule="exact"/>
        <w:rPr>
          <w:rFonts w:ascii="Arial" w:cs="Arial" w:eastAsia="Arial" w:hAnsi="Arial"/>
          <w:sz w:val="20"/>
          <w:szCs w:val="20"/>
          <w:color w:val="auto"/>
        </w:rPr>
      </w:pPr>
    </w:p>
    <w:p>
      <w:pPr>
        <w:jc w:val="both"/>
        <w:ind w:left="160" w:right="140" w:firstLine="7"/>
        <w:spacing w:after="0" w:line="227" w:lineRule="auto"/>
        <w:tabs>
          <w:tab w:leader="none" w:pos="45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65" w:lineRule="exact"/>
        <w:rPr>
          <w:rFonts w:ascii="Arial" w:cs="Arial" w:eastAsia="Arial" w:hAnsi="Arial"/>
          <w:sz w:val="20"/>
          <w:szCs w:val="20"/>
          <w:color w:val="auto"/>
        </w:rPr>
      </w:pPr>
    </w:p>
    <w:p>
      <w:pPr>
        <w:jc w:val="both"/>
        <w:ind w:left="160" w:right="140" w:firstLine="7"/>
        <w:spacing w:after="0" w:line="239" w:lineRule="auto"/>
        <w:tabs>
          <w:tab w:leader="none" w:pos="42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Neither the establishment of the Plan, nor any Award under the Plan, nor an individual’s participation in the Plan, is intended to form part of a Participant’s remuneration for the purposes of determining payments in lieu of notice of termination of employment, severance payments, leave entitlements, or any other compensation payable to a Participant, and no Award, payment, or other right or benefit, under the Plan will be taken into account in determining any benefits under any pension, retirement, savings, profit-sharing, group insurance, welfare or benefit plan of the Company or any Subsidiary.</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3"/>
          <w:szCs w:val="13"/>
          <w:color w:val="0033A0"/>
        </w:rPr>
        <w:t xml:space="preserve">B-16 </w:t>
      </w:r>
      <w:r>
        <w:rPr>
          <w:sz w:val="1"/>
          <w:szCs w:val="1"/>
          <w:color w:val="auto"/>
        </w:rPr>
        <w:drawing>
          <wp:inline distT="0" distB="0" distL="0" distR="0">
            <wp:extent cx="6793865" cy="10160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793865" cy="101600"/>
                    </a:xfrm>
                    <a:prstGeom prst="rect">
                      <a:avLst/>
                    </a:prstGeom>
                    <a:noFill/>
                    <a:ln>
                      <a:noFill/>
                    </a:ln>
                  </pic:spPr>
                </pic:pic>
              </a:graphicData>
            </a:graphic>
          </wp:inline>
        </w:drawing>
      </w:r>
    </w:p>
    <w:p>
      <w:pPr>
        <w:sectPr>
          <w:pgSz w:w="11900" w:h="16838" w:orient="portrait"/>
          <w:cols w:equalWidth="0" w:num="1">
            <w:col w:w="11220"/>
          </w:cols>
          <w:pgMar w:left="320" w:top="456"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tabs>
          <w:tab w:leader="none" w:pos="8620" w:val="left"/>
        </w:tabs>
        <w:rPr>
          <w:sz w:val="20"/>
          <w:szCs w:val="20"/>
          <w:color w:val="auto"/>
        </w:rPr>
      </w:pPr>
      <w:r>
        <w:rPr>
          <w:rFonts w:ascii="Arial" w:cs="Arial" w:eastAsia="Arial" w:hAnsi="Arial"/>
          <w:sz w:val="14"/>
          <w:szCs w:val="14"/>
          <w:b w:val="1"/>
          <w:bCs w:val="1"/>
          <w:color w:val="00A1DF"/>
        </w:rPr>
        <w:t xml:space="preserve">APPENDIX B: </w:t>
      </w:r>
      <w:r>
        <w:rPr>
          <w:rFonts w:ascii="Arial" w:cs="Arial" w:eastAsia="Arial" w:hAnsi="Arial"/>
          <w:sz w:val="14"/>
          <w:szCs w:val="14"/>
          <w:b w:val="1"/>
          <w:bCs w:val="1"/>
          <w:color w:val="0033A0"/>
        </w:rPr>
        <w:t>GENERAL MOTORS COMPANY</w:t>
        <w:tab/>
        <w:t>2020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 xml:space="preserve">Section 17. </w:t>
      </w:r>
      <w:r>
        <w:rPr>
          <w:rFonts w:ascii="Arial" w:cs="Arial" w:eastAsia="Arial" w:hAnsi="Arial"/>
          <w:sz w:val="20"/>
          <w:szCs w:val="20"/>
          <w:i w:val="1"/>
          <w:iCs w:val="1"/>
          <w:color w:val="auto"/>
        </w:rPr>
        <w:t>Effective Date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effective as of the Effective Date, subject to stockholder approval.</w:t>
      </w:r>
    </w:p>
    <w:p>
      <w:pPr>
        <w:spacing w:after="0" w:line="158" w:lineRule="exact"/>
        <w:rPr>
          <w:sz w:val="20"/>
          <w:szCs w:val="20"/>
          <w:color w:val="auto"/>
        </w:rPr>
      </w:pPr>
    </w:p>
    <w:p>
      <w:pPr>
        <w:jc w:val="both"/>
        <w:ind w:left="160" w:right="180"/>
        <w:spacing w:after="0" w:line="244"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i w:val="1"/>
          <w:iCs w:val="1"/>
          <w:color w:val="auto"/>
        </w:rPr>
        <w:t>Term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No Award shall be granted under the Plan after the earliest to occur of (a) the tenth anniversary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Effective Date, (b) the maximum number of Shares available for issuance under the Plan have been issued, or (c) the Board terminates the Plan in accordance with Section 15(a).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38" w:lineRule="exact"/>
        <w:rPr>
          <w:sz w:val="20"/>
          <w:szCs w:val="20"/>
          <w:color w:val="auto"/>
        </w:rPr>
      </w:pPr>
    </w:p>
    <w:p>
      <w:pPr>
        <w:jc w:val="both"/>
        <w:ind w:left="160" w:right="180"/>
        <w:spacing w:after="0" w:line="226" w:lineRule="auto"/>
        <w:rPr>
          <w:sz w:val="20"/>
          <w:szCs w:val="20"/>
          <w:color w:val="auto"/>
        </w:rPr>
      </w:pPr>
      <w:r>
        <w:rPr>
          <w:rFonts w:ascii="Arial" w:cs="Arial" w:eastAsia="Arial" w:hAnsi="Arial"/>
          <w:sz w:val="20"/>
          <w:szCs w:val="20"/>
          <w:b w:val="1"/>
          <w:bCs w:val="1"/>
          <w:color w:val="auto"/>
        </w:rPr>
        <w:t xml:space="preserve">Section 19. </w:t>
      </w:r>
      <w:r>
        <w:rPr>
          <w:rFonts w:ascii="Arial" w:cs="Arial" w:eastAsia="Arial" w:hAnsi="Arial"/>
          <w:sz w:val="20"/>
          <w:szCs w:val="20"/>
          <w:i w:val="1"/>
          <w:iCs w:val="1"/>
          <w:color w:val="auto"/>
        </w:rPr>
        <w:t>Section 409A of the Code.</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Awards subject to Section 409A of the Code, the Plan is intended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20"/>
          <w:szCs w:val="20"/>
          <w:i w:val="1"/>
          <w:iCs w:val="1"/>
          <w:color w:val="auto"/>
        </w:rPr>
        <w:t>.</w:t>
      </w:r>
      <w:r>
        <w:rPr>
          <w:rFonts w:ascii="Arial" w:cs="Arial" w:eastAsia="Arial" w:hAnsi="Arial"/>
          <w:sz w:val="20"/>
          <w:szCs w:val="20"/>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33" w:lineRule="exact"/>
        <w:rPr>
          <w:sz w:val="20"/>
          <w:szCs w:val="20"/>
          <w:color w:val="auto"/>
        </w:rPr>
      </w:pPr>
    </w:p>
    <w:p>
      <w:pPr>
        <w:jc w:val="both"/>
        <w:ind w:left="160" w:right="180"/>
        <w:spacing w:after="0" w:line="239" w:lineRule="auto"/>
        <w:rPr>
          <w:sz w:val="20"/>
          <w:szCs w:val="20"/>
          <w:color w:val="auto"/>
        </w:rPr>
      </w:pPr>
      <w:r>
        <w:rPr>
          <w:rFonts w:ascii="Arial" w:cs="Arial" w:eastAsia="Arial" w:hAnsi="Arial"/>
          <w:sz w:val="20"/>
          <w:szCs w:val="20"/>
          <w:b w:val="1"/>
          <w:bCs w:val="1"/>
          <w:color w:val="auto"/>
        </w:rPr>
        <w:t xml:space="preserve">Section 20. </w:t>
      </w:r>
      <w:r>
        <w:rPr>
          <w:rFonts w:ascii="Arial" w:cs="Arial" w:eastAsia="Arial" w:hAnsi="Arial"/>
          <w:sz w:val="20"/>
          <w:szCs w:val="20"/>
          <w:i w:val="1"/>
          <w:iCs w:val="1"/>
          <w:color w:val="auto"/>
        </w:rPr>
        <w:t>Data Protection.</w:t>
      </w:r>
      <w:r>
        <w:rPr>
          <w:rFonts w:ascii="Arial" w:cs="Arial" w:eastAsia="Arial" w:hAnsi="Arial"/>
          <w:sz w:val="20"/>
          <w:szCs w:val="20"/>
          <w:b w:val="1"/>
          <w:bCs w:val="1"/>
          <w:color w:val="auto"/>
        </w:rPr>
        <w:t xml:space="preserve"> </w:t>
      </w:r>
      <w:r>
        <w:rPr>
          <w:rFonts w:ascii="Arial" w:cs="Arial" w:eastAsia="Arial" w:hAnsi="Arial"/>
          <w:sz w:val="20"/>
          <w:szCs w:val="20"/>
          <w:color w:val="auto"/>
        </w:rPr>
        <w:t>By participating in the Plan, the Participant consents to the holding and processing of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provided by the Participant to the Company or any Subsidiary, trustee or third party service provider, for all purposes relating to the operation of the Plan. These include, but are not limited to:</w:t>
      </w:r>
    </w:p>
    <w:p>
      <w:pPr>
        <w:spacing w:after="0" w:line="86" w:lineRule="exact"/>
        <w:rPr>
          <w:sz w:val="20"/>
          <w:szCs w:val="20"/>
          <w:color w:val="auto"/>
        </w:rPr>
      </w:pPr>
    </w:p>
    <w:p>
      <w:pPr>
        <w:ind w:left="460" w:hanging="293"/>
        <w:spacing w:after="0"/>
        <w:tabs>
          <w:tab w:leader="none" w:pos="4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administering and maintaining Participant records;</w:t>
      </w:r>
    </w:p>
    <w:p>
      <w:pPr>
        <w:spacing w:after="0" w:line="157" w:lineRule="exact"/>
        <w:rPr>
          <w:rFonts w:ascii="Arial" w:cs="Arial" w:eastAsia="Arial" w:hAnsi="Arial"/>
          <w:sz w:val="20"/>
          <w:szCs w:val="20"/>
          <w:color w:val="auto"/>
        </w:rPr>
      </w:pPr>
    </w:p>
    <w:p>
      <w:pPr>
        <w:ind w:left="160" w:right="180" w:firstLine="7"/>
        <w:spacing w:after="0" w:line="234" w:lineRule="auto"/>
        <w:tabs>
          <w:tab w:leader="none" w:pos="48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providing information to the Company, Subsidiaries, trustees of any employee benefit trust, registrars, brokers or third party administrators of the Plan;</w:t>
      </w:r>
    </w:p>
    <w:p>
      <w:pPr>
        <w:spacing w:after="0" w:line="166" w:lineRule="exact"/>
        <w:rPr>
          <w:rFonts w:ascii="Arial" w:cs="Arial" w:eastAsia="Arial" w:hAnsi="Arial"/>
          <w:sz w:val="20"/>
          <w:szCs w:val="20"/>
          <w:color w:val="auto"/>
        </w:rPr>
      </w:pPr>
    </w:p>
    <w:p>
      <w:pPr>
        <w:ind w:left="160" w:right="180" w:firstLine="7"/>
        <w:spacing w:after="0" w:line="234" w:lineRule="auto"/>
        <w:tabs>
          <w:tab w:leader="none" w:pos="45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providing information to future purchasers or merger partners of the Company or any Subsidiary, or the business in which the Participant works; and</w:t>
      </w:r>
    </w:p>
    <w:p>
      <w:pPr>
        <w:spacing w:after="0" w:line="153" w:lineRule="exact"/>
        <w:rPr>
          <w:rFonts w:ascii="Arial" w:cs="Arial" w:eastAsia="Arial" w:hAnsi="Arial"/>
          <w:sz w:val="20"/>
          <w:szCs w:val="20"/>
          <w:color w:val="auto"/>
        </w:rPr>
      </w:pPr>
    </w:p>
    <w:p>
      <w:pPr>
        <w:ind w:left="160" w:right="180" w:firstLine="7"/>
        <w:spacing w:after="0" w:line="234" w:lineRule="auto"/>
        <w:tabs>
          <w:tab w:leader="none" w:pos="47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transferring information about the Participant to any country or territory that may not provide the same protection for the information as the Participant’s home country.</w:t>
      </w:r>
    </w:p>
    <w:p>
      <w:pPr>
        <w:spacing w:after="0" w:line="129" w:lineRule="exact"/>
        <w:rPr>
          <w:sz w:val="20"/>
          <w:szCs w:val="20"/>
          <w:color w:val="auto"/>
        </w:rPr>
      </w:pPr>
    </w:p>
    <w:p>
      <w:pPr>
        <w:jc w:val="both"/>
        <w:ind w:left="160" w:right="180"/>
        <w:spacing w:after="0" w:line="232"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i w:val="1"/>
          <w:iCs w:val="1"/>
          <w:color w:val="auto"/>
        </w:rPr>
        <w:t>Governing Law and Consent to Jurisdiction/Venue.</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Award Documents shall be exclusively</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and interpreted according to the laws of the State of Delaware, without application of its conflict of law provisions. The Company and each Participant also irrevocably consent to the exclusive personal jurisdiction and venue of the Chancery Court of the State of Delaware and the United States District Court for the District of Delaware for any action, claim or dispute arising out of or relating to the Plan and Award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793865" cy="1016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793865" cy="10160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4"/>
          <w:szCs w:val="14"/>
          <w:color w:val="0033A0"/>
        </w:rPr>
        <w:t>B-17</w:t>
      </w:r>
    </w:p>
    <w:p>
      <w:pPr>
        <w:sectPr>
          <w:pgSz w:w="11900" w:h="16838" w:orient="portrait"/>
          <w:cols w:equalWidth="0" w:num="1">
            <w:col w:w="11260"/>
          </w:cols>
          <w:pgMar w:left="320" w:top="456" w:right="31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231775</wp:posOffset>
            </wp:positionV>
            <wp:extent cx="6029325" cy="78047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29325" cy="780478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231775</wp:posOffset>
            </wp:positionV>
            <wp:extent cx="6029325" cy="78047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29325" cy="7804785"/>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u"/>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u"/>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1)"/>
      <w:numFmt w:val="decimal"/>
      <w:start w:val="1"/>
    </w:lvl>
  </w:abstractNum>
  <w:abstractNum w:abstractNumId="6">
    <w:nsid w:val="288F1A34"/>
    <w:multiLevelType w:val="hybridMultilevel"/>
    <w:lvl w:ilvl="0">
      <w:lvlJc w:val="left"/>
      <w:lvlText w:val="(%1)"/>
      <w:numFmt w:val="decimal"/>
      <w:start w:val="1"/>
    </w:lvl>
  </w:abstractNum>
  <w:abstractNum w:abstractNumId="7">
    <w:nsid w:val="2A155DBC"/>
    <w:multiLevelType w:val="hybridMultilevel"/>
    <w:lvl w:ilvl="0">
      <w:lvlJc w:val="left"/>
      <w:lvlText w:val="(%1)"/>
      <w:numFmt w:val="decimal"/>
      <w:start w:val="2"/>
    </w:lvl>
  </w:abstractNum>
  <w:abstractNum w:abstractNumId="8">
    <w:nsid w:val="1D9F6E5F"/>
    <w:multiLevelType w:val="hybridMultilevel"/>
    <w:lvl w:ilvl="0">
      <w:lvlJc w:val="left"/>
      <w:lvlText w:val="%1"/>
      <w:numFmt w:val="decimal"/>
      <w:start w:val="1"/>
    </w:lvl>
    <w:lvl w:ilvl="1">
      <w:lvlJc w:val="left"/>
      <w:lvlText w:val="(%2)"/>
      <w:numFmt w:val="lowerLetter"/>
      <w:start w:val="1"/>
    </w:lvl>
  </w:abstractNum>
  <w:abstractNum w:abstractNumId="9">
    <w:nsid w:val="97E1B4E"/>
    <w:multiLevelType w:val="hybridMultilevel"/>
    <w:lvl w:ilvl="0">
      <w:lvlJc w:val="left"/>
      <w:lvlText w:val="(%1)"/>
      <w:numFmt w:val="decimal"/>
      <w:start w:val="4"/>
    </w:lvl>
    <w:lvl w:ilvl="1">
      <w:lvlJc w:val="left"/>
      <w:lvlText w:val="%2"/>
      <w:numFmt w:val="lowerLetter"/>
      <w:start w:val="1"/>
    </w:lvl>
  </w:abstractNum>
  <w:abstractNum w:abstractNumId="10">
    <w:nsid w:val="51088277"/>
    <w:multiLevelType w:val="hybridMultilevel"/>
    <w:lvl w:ilvl="0">
      <w:lvlJc w:val="left"/>
      <w:lvlText w:val="u"/>
      <w:numFmt w:val="bullet"/>
      <w:start w:val="1"/>
    </w:lvl>
  </w:abstractNum>
  <w:abstractNum w:abstractNumId="11">
    <w:nsid w:val="1CA0C5FA"/>
    <w:multiLevelType w:val="hybridMultilevel"/>
    <w:lvl w:ilvl="0">
      <w:lvlJc w:val="left"/>
      <w:lvlText w:val="u"/>
      <w:numFmt w:val="bullet"/>
      <w:start w:val="1"/>
    </w:lvl>
  </w:abstractNum>
  <w:abstractNum w:abstractNumId="12">
    <w:nsid w:val="53584BCB"/>
    <w:multiLevelType w:val="hybridMultilevel"/>
    <w:lvl w:ilvl="0">
      <w:lvlJc w:val="left"/>
      <w:lvlText w:val="u"/>
      <w:numFmt w:val="bullet"/>
      <w:start w:val="1"/>
    </w:lvl>
  </w:abstractNum>
  <w:abstractNum w:abstractNumId="13">
    <w:nsid w:val="415E286C"/>
    <w:multiLevelType w:val="hybridMultilevel"/>
    <w:lvl w:ilvl="0">
      <w:lvlJc w:val="left"/>
      <w:lvlText w:val="u"/>
      <w:numFmt w:val="bullet"/>
      <w:start w:val="1"/>
    </w:lvl>
  </w:abstractNum>
  <w:abstractNum w:abstractNumId="14">
    <w:nsid w:val="7C58FD05"/>
    <w:multiLevelType w:val="hybridMultilevel"/>
    <w:lvl w:ilvl="0">
      <w:lvlJc w:val="left"/>
      <w:lvlText w:val="u"/>
      <w:numFmt w:val="bullet"/>
      <w:start w:val="1"/>
    </w:lvl>
  </w:abstractNum>
  <w:abstractNum w:abstractNumId="15">
    <w:nsid w:val="23D86AAC"/>
    <w:multiLevelType w:val="hybridMultilevel"/>
    <w:lvl w:ilvl="0">
      <w:lvlJc w:val="left"/>
      <w:lvlText w:val="u"/>
      <w:numFmt w:val="bullet"/>
      <w:start w:val="1"/>
    </w:lvl>
  </w:abstractNum>
  <w:abstractNum w:abstractNumId="16">
    <w:nsid w:val="45E6D486"/>
    <w:multiLevelType w:val="hybridMultilevel"/>
    <w:lvl w:ilvl="0">
      <w:lvlJc w:val="left"/>
      <w:lvlText w:val="u"/>
      <w:numFmt w:val="bullet"/>
      <w:start w:val="1"/>
    </w:lvl>
  </w:abstractNum>
  <w:abstractNum w:abstractNumId="17">
    <w:nsid w:val="5C10FE21"/>
    <w:multiLevelType w:val="hybridMultilevel"/>
    <w:lvl w:ilvl="0">
      <w:lvlJc w:val="left"/>
      <w:lvlText w:val="u"/>
      <w:numFmt w:val="bullet"/>
      <w:start w:val="1"/>
    </w:lvl>
  </w:abstractNum>
  <w:abstractNum w:abstractNumId="18">
    <w:nsid w:val="E7FFA2B"/>
    <w:multiLevelType w:val="hybridMultilevel"/>
    <w:lvl w:ilvl="0">
      <w:lvlJc w:val="left"/>
      <w:lvlText w:val="u"/>
      <w:numFmt w:val="bullet"/>
      <w:start w:val="1"/>
    </w:lvl>
  </w:abstractNum>
  <w:abstractNum w:abstractNumId="19">
    <w:nsid w:val="3C5991AA"/>
    <w:multiLevelType w:val="hybridMultilevel"/>
    <w:lvl w:ilvl="0">
      <w:lvlJc w:val="left"/>
      <w:lvlText w:val="u"/>
      <w:numFmt w:val="bullet"/>
      <w:start w:val="1"/>
    </w:lvl>
  </w:abstractNum>
  <w:abstractNum w:abstractNumId="20">
    <w:nsid w:val="4BD8591A"/>
    <w:multiLevelType w:val="hybridMultilevel"/>
    <w:lvl w:ilvl="0">
      <w:lvlJc w:val="left"/>
      <w:lvlText w:val="u"/>
      <w:numFmt w:val="bullet"/>
      <w:start w:val="1"/>
    </w:lvl>
  </w:abstractNum>
  <w:abstractNum w:abstractNumId="21">
    <w:nsid w:val="78DF6A55"/>
    <w:multiLevelType w:val="hybridMultilevel"/>
    <w:lvl w:ilvl="0">
      <w:lvlJc w:val="left"/>
      <w:lvlText w:val="u"/>
      <w:numFmt w:val="bullet"/>
      <w:start w:val="1"/>
    </w:lvl>
  </w:abstractNum>
  <w:abstractNum w:abstractNumId="22">
    <w:nsid w:val="39B7AAA2"/>
    <w:multiLevelType w:val="hybridMultilevel"/>
    <w:lvl w:ilvl="0">
      <w:lvlJc w:val="left"/>
      <w:lvlText w:val="u"/>
      <w:numFmt w:val="bullet"/>
      <w:start w:val="1"/>
    </w:lvl>
  </w:abstractNum>
  <w:abstractNum w:abstractNumId="23">
    <w:nsid w:val="2B0D8DBE"/>
    <w:multiLevelType w:val="hybridMultilevel"/>
    <w:lvl w:ilvl="0">
      <w:lvlJc w:val="left"/>
      <w:lvlText w:val="u"/>
      <w:numFmt w:val="bullet"/>
      <w:start w:val="1"/>
    </w:lvl>
  </w:abstractNum>
  <w:abstractNum w:abstractNumId="24">
    <w:nsid w:val="6C80EC70"/>
    <w:multiLevelType w:val="hybridMultilevel"/>
    <w:lvl w:ilvl="0">
      <w:lvlJc w:val="left"/>
      <w:lvlText w:val="•"/>
      <w:numFmt w:val="bullet"/>
      <w:start w:val="1"/>
    </w:lvl>
  </w:abstractNum>
  <w:abstractNum w:abstractNumId="25">
    <w:nsid w:val="379E21B5"/>
    <w:multiLevelType w:val="hybridMultilevel"/>
    <w:lvl w:ilvl="0">
      <w:lvlJc w:val="left"/>
      <w:lvlText w:val="u"/>
      <w:numFmt w:val="bullet"/>
      <w:start w:val="1"/>
    </w:lvl>
  </w:abstractNum>
  <w:abstractNum w:abstractNumId="26">
    <w:nsid w:val="69E373"/>
    <w:multiLevelType w:val="hybridMultilevel"/>
    <w:lvl w:ilvl="0">
      <w:lvlJc w:val="left"/>
      <w:lvlText w:val="u"/>
      <w:numFmt w:val="bullet"/>
      <w:start w:val="1"/>
    </w:lvl>
  </w:abstractNum>
  <w:abstractNum w:abstractNumId="27">
    <w:nsid w:val="2C27173B"/>
    <w:multiLevelType w:val="hybridMultilevel"/>
    <w:lvl w:ilvl="0">
      <w:lvlJc w:val="left"/>
      <w:lvlText w:val="u"/>
      <w:numFmt w:val="bullet"/>
      <w:start w:val="1"/>
    </w:lvl>
  </w:abstractNum>
  <w:abstractNum w:abstractNumId="28">
    <w:nsid w:val="4C9B0904"/>
    <w:multiLevelType w:val="hybridMultilevel"/>
    <w:lvl w:ilvl="0">
      <w:lvlJc w:val="left"/>
      <w:lvlText w:val="u"/>
      <w:numFmt w:val="bullet"/>
      <w:start w:val="1"/>
    </w:lvl>
  </w:abstractNum>
  <w:abstractNum w:abstractNumId="29">
    <w:nsid w:val="6AA7B75C"/>
    <w:multiLevelType w:val="hybridMultilevel"/>
    <w:lvl w:ilvl="0">
      <w:lvlJc w:val="left"/>
      <w:lvlText w:val="u"/>
      <w:numFmt w:val="bullet"/>
      <w:start w:val="1"/>
    </w:lvl>
  </w:abstractNum>
  <w:abstractNum w:abstractNumId="30">
    <w:nsid w:val="1DF029D3"/>
    <w:multiLevelType w:val="hybridMultilevel"/>
    <w:lvl w:ilvl="0">
      <w:lvlJc w:val="left"/>
      <w:lvlText w:val="u"/>
      <w:numFmt w:val="bullet"/>
      <w:start w:val="1"/>
    </w:lvl>
  </w:abstractNum>
  <w:abstractNum w:abstractNumId="31">
    <w:nsid w:val="5675FF36"/>
    <w:multiLevelType w:val="hybridMultilevel"/>
    <w:lvl w:ilvl="0">
      <w:lvlJc w:val="left"/>
      <w:lvlText w:val="u"/>
      <w:numFmt w:val="bullet"/>
      <w:start w:val="1"/>
    </w:lvl>
  </w:abstractNum>
  <w:abstractNum w:abstractNumId="32">
    <w:nsid w:val="3DD15094"/>
    <w:multiLevelType w:val="hybridMultilevel"/>
    <w:lvl w:ilvl="0">
      <w:lvlJc w:val="left"/>
      <w:lvlText w:val="u"/>
      <w:numFmt w:val="bullet"/>
      <w:start w:val="1"/>
    </w:lvl>
  </w:abstractNum>
  <w:abstractNum w:abstractNumId="33">
    <w:nsid w:val="3DB012B3"/>
    <w:multiLevelType w:val="hybridMultilevel"/>
    <w:lvl w:ilvl="0">
      <w:lvlJc w:val="left"/>
      <w:lvlText w:val="u"/>
      <w:numFmt w:val="bullet"/>
      <w:start w:val="1"/>
    </w:lvl>
  </w:abstractNum>
  <w:abstractNum w:abstractNumId="34">
    <w:nsid w:val="2708C9AF"/>
    <w:multiLevelType w:val="hybridMultilevel"/>
    <w:lvl w:ilvl="0">
      <w:lvlJc w:val="left"/>
      <w:lvlText w:val="u"/>
      <w:numFmt w:val="bullet"/>
      <w:start w:val="1"/>
    </w:lvl>
  </w:abstractNum>
  <w:abstractNum w:abstractNumId="35">
    <w:nsid w:val="5B25ACE2"/>
    <w:multiLevelType w:val="hybridMultilevel"/>
    <w:lvl w:ilvl="0">
      <w:lvlJc w:val="left"/>
      <w:lvlText w:val="u"/>
      <w:numFmt w:val="bullet"/>
      <w:start w:val="1"/>
    </w:lvl>
  </w:abstractNum>
  <w:abstractNum w:abstractNumId="36">
    <w:nsid w:val="175DFCF0"/>
    <w:multiLevelType w:val="hybridMultilevel"/>
    <w:lvl w:ilvl="0">
      <w:lvlJc w:val="left"/>
      <w:lvlText w:val="u"/>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
      <w:numFmt w:val="bullet"/>
      <w:start w:val="1"/>
    </w:lvl>
  </w:abstractNum>
  <w:abstractNum w:abstractNumId="39">
    <w:nsid w:val="34FD6B4F"/>
    <w:multiLevelType w:val="hybridMultilevel"/>
    <w:lvl w:ilvl="0">
      <w:lvlJc w:val="left"/>
      <w:lvlText w:val="(%1)"/>
      <w:numFmt w:val="decimal"/>
      <w:start w:val="1"/>
    </w:lvl>
  </w:abstractNum>
  <w:abstractNum w:abstractNumId="40">
    <w:nsid w:val="5915FF32"/>
    <w:multiLevelType w:val="hybridMultilevel"/>
    <w:lvl w:ilvl="0">
      <w:lvlJc w:val="left"/>
      <w:lvlText w:val="u"/>
      <w:numFmt w:val="bullet"/>
      <w:start w:val="1"/>
    </w:lvl>
  </w:abstractNum>
  <w:abstractNum w:abstractNumId="41">
    <w:nsid w:val="56438D15"/>
    <w:multiLevelType w:val="hybridMultilevel"/>
    <w:lvl w:ilvl="0">
      <w:lvlJc w:val="left"/>
      <w:lvlText w:val="u"/>
      <w:numFmt w:val="bullet"/>
      <w:start w:val="1"/>
    </w:lvl>
  </w:abstractNum>
  <w:abstractNum w:abstractNumId="42">
    <w:nsid w:val="519E3149"/>
    <w:multiLevelType w:val="hybridMultilevel"/>
    <w:lvl w:ilvl="0">
      <w:lvlJc w:val="left"/>
      <w:lvlText w:val="(%1)"/>
      <w:numFmt w:val="decimal"/>
      <w:start w:val="1"/>
    </w:lvl>
  </w:abstractNum>
  <w:abstractNum w:abstractNumId="43">
    <w:nsid w:val="2C6E4AFD"/>
    <w:multiLevelType w:val="hybridMultilevel"/>
    <w:lvl w:ilvl="0">
      <w:lvlJc w:val="left"/>
      <w:lvlText w:val="u"/>
      <w:numFmt w:val="bullet"/>
      <w:start w:val="1"/>
    </w:lvl>
  </w:abstractNum>
  <w:abstractNum w:abstractNumId="44">
    <w:nsid w:val="17A1B582"/>
    <w:multiLevelType w:val="hybridMultilevel"/>
    <w:lvl w:ilvl="0">
      <w:lvlJc w:val="left"/>
      <w:lvlText w:val="u"/>
      <w:numFmt w:val="bullet"/>
      <w:start w:val="1"/>
    </w:lvl>
  </w:abstractNum>
  <w:abstractNum w:abstractNumId="45">
    <w:nsid w:val="4DF72E4E"/>
    <w:multiLevelType w:val="hybridMultilevel"/>
    <w:lvl w:ilvl="0">
      <w:lvlJc w:val="left"/>
      <w:lvlText w:val="ü"/>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u"/>
      <w:numFmt w:val="bullet"/>
      <w:start w:val="1"/>
    </w:lvl>
  </w:abstractNum>
  <w:abstractNum w:abstractNumId="48">
    <w:nsid w:val="2A082C70"/>
    <w:multiLevelType w:val="hybridMultilevel"/>
    <w:lvl w:ilvl="0">
      <w:lvlJc w:val="left"/>
      <w:lvlText w:val="u"/>
      <w:numFmt w:val="bullet"/>
      <w:start w:val="1"/>
    </w:lvl>
  </w:abstractNum>
  <w:abstractNum w:abstractNumId="49">
    <w:nsid w:val="5EC6AFD4"/>
    <w:multiLevelType w:val="hybridMultilevel"/>
    <w:lvl w:ilvl="0">
      <w:lvlJc w:val="left"/>
      <w:lvlText w:val="u"/>
      <w:numFmt w:val="bullet"/>
      <w:start w:val="1"/>
    </w:lvl>
  </w:abstractNum>
  <w:abstractNum w:abstractNumId="50">
    <w:nsid w:val="19E21BB2"/>
    <w:multiLevelType w:val="hybridMultilevel"/>
    <w:lvl w:ilvl="0">
      <w:lvlJc w:val="left"/>
      <w:lvlText w:val="u"/>
      <w:numFmt w:val="bullet"/>
      <w:start w:val="1"/>
    </w:lvl>
  </w:abstractNum>
  <w:abstractNum w:abstractNumId="51">
    <w:nsid w:val="75E0858A"/>
    <w:multiLevelType w:val="hybridMultilevel"/>
    <w:lvl w:ilvl="0">
      <w:lvlJc w:val="left"/>
      <w:lvlText w:val="(%1)"/>
      <w:numFmt w:val="decimal"/>
      <w:start w:val="1"/>
    </w:lvl>
  </w:abstractNum>
  <w:abstractNum w:abstractNumId="52">
    <w:nsid w:val="57A61A29"/>
    <w:multiLevelType w:val="hybridMultilevel"/>
    <w:lvl w:ilvl="0">
      <w:lvlJc w:val="left"/>
      <w:lvlText w:val="u"/>
      <w:numFmt w:val="bullet"/>
      <w:start w:val="1"/>
    </w:lvl>
  </w:abstractNum>
  <w:abstractNum w:abstractNumId="53">
    <w:nsid w:val="5399C654"/>
    <w:multiLevelType w:val="hybridMultilevel"/>
    <w:lvl w:ilvl="0">
      <w:lvlJc w:val="left"/>
      <w:lvlText w:val="u"/>
      <w:numFmt w:val="bullet"/>
      <w:start w:val="1"/>
    </w:lvl>
  </w:abstractNum>
  <w:abstractNum w:abstractNumId="54">
    <w:nsid w:val="20EE1348"/>
    <w:multiLevelType w:val="hybridMultilevel"/>
    <w:lvl w:ilvl="0">
      <w:lvlJc w:val="left"/>
      <w:lvlText w:val="u"/>
      <w:numFmt w:val="bullet"/>
      <w:start w:val="1"/>
    </w:lvl>
  </w:abstractNum>
  <w:abstractNum w:abstractNumId="55">
    <w:nsid w:val="4427069A"/>
    <w:multiLevelType w:val="hybridMultilevel"/>
    <w:lvl w:ilvl="0">
      <w:lvlJc w:val="left"/>
      <w:lvlText w:val="u"/>
      <w:numFmt w:val="bullet"/>
      <w:start w:val="1"/>
    </w:lvl>
  </w:abstractNum>
  <w:abstractNum w:abstractNumId="56">
    <w:nsid w:val="B37E80A"/>
    <w:multiLevelType w:val="hybridMultilevel"/>
    <w:lvl w:ilvl="0">
      <w:lvlJc w:val="left"/>
      <w:lvlText w:val="u"/>
      <w:numFmt w:val="bullet"/>
      <w:start w:val="1"/>
    </w:lvl>
  </w:abstractNum>
  <w:abstractNum w:abstractNumId="57">
    <w:nsid w:val="2157F6BC"/>
    <w:multiLevelType w:val="hybridMultilevel"/>
    <w:lvl w:ilvl="0">
      <w:lvlJc w:val="left"/>
      <w:lvlText w:val="u"/>
      <w:numFmt w:val="bullet"/>
      <w:start w:val="1"/>
    </w:lvl>
  </w:abstractNum>
  <w:abstractNum w:abstractNumId="58">
    <w:nsid w:val="704E1DD5"/>
    <w:multiLevelType w:val="hybridMultilevel"/>
    <w:lvl w:ilvl="0">
      <w:lvlJc w:val="left"/>
      <w:lvlText w:val="u"/>
      <w:numFmt w:val="bullet"/>
      <w:start w:val="1"/>
    </w:lvl>
  </w:abstractNum>
  <w:abstractNum w:abstractNumId="59">
    <w:nsid w:val="57D2F10E"/>
    <w:multiLevelType w:val="hybridMultilevel"/>
    <w:lvl w:ilvl="0">
      <w:lvlJc w:val="left"/>
      <w:lvlText w:val="(%1)"/>
      <w:numFmt w:val="decimal"/>
      <w:start w:val="1"/>
    </w:lvl>
  </w:abstractNum>
  <w:abstractNum w:abstractNumId="60">
    <w:nsid w:val="BFFAE18"/>
    <w:multiLevelType w:val="hybridMultilevel"/>
    <w:lvl w:ilvl="0">
      <w:lvlJc w:val="left"/>
      <w:lvlText w:val="u"/>
      <w:numFmt w:val="bullet"/>
      <w:start w:val="1"/>
    </w:lvl>
  </w:abstractNum>
  <w:abstractNum w:abstractNumId="61">
    <w:nsid w:val="E3E47A8"/>
    <w:multiLevelType w:val="hybridMultilevel"/>
    <w:lvl w:ilvl="0">
      <w:lvlJc w:val="left"/>
      <w:lvlText w:val="u"/>
      <w:numFmt w:val="bullet"/>
      <w:start w:val="1"/>
    </w:lvl>
  </w:abstractNum>
  <w:abstractNum w:abstractNumId="62">
    <w:nsid w:val="2E48F044"/>
    <w:multiLevelType w:val="hybridMultilevel"/>
    <w:lvl w:ilvl="0">
      <w:lvlJc w:val="left"/>
      <w:lvlText w:val="(%1)"/>
      <w:numFmt w:val="decimal"/>
      <w:start w:val="1"/>
    </w:lvl>
  </w:abstractNum>
  <w:abstractNum w:abstractNumId="63">
    <w:nsid w:val="49D0FEAC"/>
    <w:multiLevelType w:val="hybridMultilevel"/>
    <w:lvl w:ilvl="0">
      <w:lvlJc w:val="left"/>
      <w:lvlText w:val="u"/>
      <w:numFmt w:val="bullet"/>
      <w:start w:val="1"/>
    </w:lvl>
  </w:abstractNum>
  <w:abstractNum w:abstractNumId="64">
    <w:nsid w:val="4BEE5A5B"/>
    <w:multiLevelType w:val="hybridMultilevel"/>
    <w:lvl w:ilvl="0">
      <w:lvlJc w:val="left"/>
      <w:lvlText w:val="u"/>
      <w:numFmt w:val="bullet"/>
      <w:start w:val="1"/>
    </w:lvl>
  </w:abstractNum>
  <w:abstractNum w:abstractNumId="65">
    <w:nsid w:val="5551B9F3"/>
    <w:multiLevelType w:val="hybridMultilevel"/>
    <w:lvl w:ilvl="0">
      <w:lvlJc w:val="left"/>
      <w:lvlText w:val="(%1)"/>
      <w:numFmt w:val="decimal"/>
      <w:start w:val="1"/>
    </w:lvl>
  </w:abstractNum>
  <w:abstractNum w:abstractNumId="66">
    <w:nsid w:val="24F6AB8E"/>
    <w:multiLevelType w:val="hybridMultilevel"/>
    <w:lvl w:ilvl="0">
      <w:lvlJc w:val="left"/>
      <w:lvlText w:val="u"/>
      <w:numFmt w:val="bullet"/>
      <w:start w:val="1"/>
    </w:lvl>
  </w:abstractNum>
  <w:abstractNum w:abstractNumId="67">
    <w:nsid w:val="634C574C"/>
    <w:multiLevelType w:val="hybridMultilevel"/>
    <w:lvl w:ilvl="0">
      <w:lvlJc w:val="left"/>
      <w:lvlText w:val="(%1)"/>
      <w:numFmt w:val="decimal"/>
      <w:start w:val="1"/>
    </w:lvl>
  </w:abstractNum>
  <w:abstractNum w:abstractNumId="68">
    <w:nsid w:val="24E99DD7"/>
    <w:multiLevelType w:val="hybridMultilevel"/>
    <w:lvl w:ilvl="0">
      <w:lvlJc w:val="left"/>
      <w:lvlText w:val="u"/>
      <w:numFmt w:val="bullet"/>
      <w:start w:val="1"/>
    </w:lvl>
  </w:abstractNum>
  <w:abstractNum w:abstractNumId="69">
    <w:nsid w:val="2A31B62D"/>
    <w:multiLevelType w:val="hybridMultilevel"/>
    <w:lvl w:ilvl="0">
      <w:lvlJc w:val="left"/>
      <w:lvlText w:val="u"/>
      <w:numFmt w:val="bullet"/>
      <w:start w:val="1"/>
    </w:lvl>
  </w:abstractNum>
  <w:abstractNum w:abstractNumId="70">
    <w:nsid w:val="1849C29B"/>
    <w:multiLevelType w:val="hybridMultilevel"/>
    <w:lvl w:ilvl="0">
      <w:lvlJc w:val="left"/>
      <w:lvlText w:val="u"/>
      <w:numFmt w:val="bullet"/>
      <w:start w:val="1"/>
    </w:lvl>
  </w:abstractNum>
  <w:abstractNum w:abstractNumId="71">
    <w:nsid w:val="7DFF9D09"/>
    <w:multiLevelType w:val="hybridMultilevel"/>
    <w:lvl w:ilvl="0">
      <w:lvlJc w:val="left"/>
      <w:lvlText w:val="u"/>
      <w:numFmt w:val="bullet"/>
      <w:start w:val="1"/>
    </w:lvl>
  </w:abstractNum>
  <w:abstractNum w:abstractNumId="72">
    <w:nsid w:val="754342"/>
    <w:multiLevelType w:val="hybridMultilevel"/>
    <w:lvl w:ilvl="0">
      <w:lvlJc w:val="left"/>
      <w:lvlText w:val="u"/>
      <w:numFmt w:val="bullet"/>
      <w:start w:val="1"/>
    </w:lvl>
  </w:abstractNum>
  <w:abstractNum w:abstractNumId="73">
    <w:nsid w:val="69E7F3E5"/>
    <w:multiLevelType w:val="hybridMultilevel"/>
    <w:lvl w:ilvl="0">
      <w:lvlJc w:val="left"/>
      <w:lvlText w:val="u"/>
      <w:numFmt w:val="bullet"/>
      <w:start w:val="1"/>
    </w:lvl>
  </w:abstractNum>
  <w:abstractNum w:abstractNumId="74">
    <w:nsid w:val="2A6DE806"/>
    <w:multiLevelType w:val="hybridMultilevel"/>
    <w:lvl w:ilvl="0">
      <w:lvlJc w:val="left"/>
      <w:lvlText w:val="(%1)"/>
      <w:numFmt w:val="decimal"/>
      <w:start w:val="1"/>
    </w:lvl>
  </w:abstractNum>
  <w:abstractNum w:abstractNumId="75">
    <w:nsid w:val="1816F8C4"/>
    <w:multiLevelType w:val="hybridMultilevel"/>
    <w:lvl w:ilvl="0">
      <w:lvlJc w:val="left"/>
      <w:lvlText w:val="u"/>
      <w:numFmt w:val="bullet"/>
      <w:start w:val="1"/>
    </w:lvl>
  </w:abstractNum>
  <w:abstractNum w:abstractNumId="76">
    <w:nsid w:val="37DF2233"/>
    <w:multiLevelType w:val="hybridMultilevel"/>
    <w:lvl w:ilvl="0">
      <w:lvlJc w:val="left"/>
      <w:lvlText w:val="u"/>
      <w:numFmt w:val="bullet"/>
      <w:start w:val="1"/>
    </w:lvl>
  </w:abstractNum>
  <w:abstractNum w:abstractNumId="77">
    <w:nsid w:val="7AB49DAF"/>
    <w:multiLevelType w:val="hybridMultilevel"/>
    <w:lvl w:ilvl="0">
      <w:lvlJc w:val="left"/>
      <w:lvlText w:val="u"/>
      <w:numFmt w:val="bullet"/>
      <w:start w:val="1"/>
    </w:lvl>
  </w:abstractNum>
  <w:abstractNum w:abstractNumId="78">
    <w:nsid w:val="759F82CD"/>
    <w:multiLevelType w:val="hybridMultilevel"/>
    <w:lvl w:ilvl="0">
      <w:lvlJc w:val="left"/>
      <w:lvlText w:val="(%1)"/>
      <w:numFmt w:val="decimal"/>
      <w:start w:val="1"/>
    </w:lvl>
  </w:abstractNum>
  <w:abstractNum w:abstractNumId="79">
    <w:nsid w:val="61E74EA3"/>
    <w:multiLevelType w:val="hybridMultilevel"/>
    <w:lvl w:ilvl="0">
      <w:lvlJc w:val="left"/>
      <w:lvlText w:val="u"/>
      <w:numFmt w:val="bullet"/>
      <w:start w:val="1"/>
    </w:lvl>
  </w:abstractNum>
  <w:abstractNum w:abstractNumId="80">
    <w:nsid w:val="597B4D84"/>
    <w:multiLevelType w:val="hybridMultilevel"/>
    <w:lvl w:ilvl="0">
      <w:lvlJc w:val="left"/>
      <w:lvlText w:val="u"/>
      <w:numFmt w:val="bullet"/>
      <w:start w:val="1"/>
    </w:lvl>
  </w:abstractNum>
  <w:abstractNum w:abstractNumId="81">
    <w:nsid w:val="F819E7F"/>
    <w:multiLevelType w:val="hybridMultilevel"/>
    <w:lvl w:ilvl="0">
      <w:lvlJc w:val="left"/>
      <w:lvlText w:val="u"/>
      <w:numFmt w:val="bullet"/>
      <w:start w:val="1"/>
    </w:lvl>
  </w:abstractNum>
  <w:abstractNum w:abstractNumId="82">
    <w:nsid w:val="57C7D42D"/>
    <w:multiLevelType w:val="hybridMultilevel"/>
    <w:lvl w:ilvl="0">
      <w:lvlJc w:val="left"/>
      <w:lvlText w:val="(%1)"/>
      <w:numFmt w:val="decimal"/>
      <w:start w:val="1"/>
    </w:lvl>
  </w:abstractNum>
  <w:abstractNum w:abstractNumId="83">
    <w:nsid w:val="312167AD"/>
    <w:multiLevelType w:val="hybridMultilevel"/>
    <w:lvl w:ilvl="0">
      <w:lvlJc w:val="left"/>
      <w:lvlText w:val="u"/>
      <w:numFmt w:val="bullet"/>
      <w:start w:val="1"/>
    </w:lvl>
  </w:abstractNum>
  <w:abstractNum w:abstractNumId="84">
    <w:nsid w:val="631B64D4"/>
    <w:multiLevelType w:val="hybridMultilevel"/>
    <w:lvl w:ilvl="0">
      <w:lvlJc w:val="left"/>
      <w:lvlText w:val="u"/>
      <w:numFmt w:val="bullet"/>
      <w:start w:val="1"/>
    </w:lvl>
  </w:abstractNum>
  <w:abstractNum w:abstractNumId="85">
    <w:nsid w:val="78B5E776"/>
    <w:multiLevelType w:val="hybridMultilevel"/>
    <w:lvl w:ilvl="0">
      <w:lvlJc w:val="left"/>
      <w:lvlText w:val="u"/>
      <w:numFmt w:val="bullet"/>
      <w:start w:val="1"/>
    </w:lvl>
  </w:abstractNum>
  <w:abstractNum w:abstractNumId="86">
    <w:nsid w:val="75486E47"/>
    <w:multiLevelType w:val="hybridMultilevel"/>
    <w:lvl w:ilvl="0">
      <w:lvlJc w:val="left"/>
      <w:lvlText w:val="(%1)"/>
      <w:numFmt w:val="decimal"/>
      <w:start w:val="1"/>
    </w:lvl>
  </w:abstractNum>
  <w:abstractNum w:abstractNumId="87">
    <w:nsid w:val="6E534CDE"/>
    <w:multiLevelType w:val="hybridMultilevel"/>
    <w:lvl w:ilvl="0">
      <w:lvlJc w:val="left"/>
      <w:lvlText w:val="u"/>
      <w:numFmt w:val="bullet"/>
      <w:start w:val="1"/>
    </w:lvl>
  </w:abstractNum>
  <w:abstractNum w:abstractNumId="88">
    <w:nsid w:val="1A0DDE32"/>
    <w:multiLevelType w:val="hybridMultilevel"/>
    <w:lvl w:ilvl="0">
      <w:lvlJc w:val="left"/>
      <w:lvlText w:val="u"/>
      <w:numFmt w:val="bullet"/>
      <w:start w:val="1"/>
    </w:lvl>
  </w:abstractNum>
  <w:abstractNum w:abstractNumId="89">
    <w:nsid w:val="65968C1C"/>
    <w:multiLevelType w:val="hybridMultilevel"/>
    <w:lvl w:ilvl="0">
      <w:lvlJc w:val="left"/>
      <w:lvlText w:val="(%1)"/>
      <w:numFmt w:val="decimal"/>
      <w:start w:val="1"/>
    </w:lvl>
  </w:abstractNum>
  <w:abstractNum w:abstractNumId="90">
    <w:nsid w:val="46263DEC"/>
    <w:multiLevelType w:val="hybridMultilevel"/>
    <w:lvl w:ilvl="0">
      <w:lvlJc w:val="left"/>
      <w:lvlText w:val="u"/>
      <w:numFmt w:val="bullet"/>
      <w:start w:val="1"/>
    </w:lvl>
  </w:abstractNum>
  <w:abstractNum w:abstractNumId="91">
    <w:nsid w:val="260D8C4A"/>
    <w:multiLevelType w:val="hybridMultilevel"/>
    <w:lvl w:ilvl="0">
      <w:lvlJc w:val="left"/>
      <w:lvlText w:val="(%1)"/>
      <w:numFmt w:val="decimal"/>
      <w:start w:val="1"/>
    </w:lvl>
  </w:abstractNum>
  <w:abstractNum w:abstractNumId="92">
    <w:nsid w:val="73D4D3C4"/>
    <w:multiLevelType w:val="hybridMultilevel"/>
    <w:lvl w:ilvl="0">
      <w:lvlJc w:val="left"/>
      <w:lvlText w:val="u"/>
      <w:numFmt w:val="bullet"/>
      <w:start w:val="1"/>
    </w:lvl>
  </w:abstractNum>
  <w:abstractNum w:abstractNumId="93">
    <w:nsid w:val="746F2E30"/>
    <w:multiLevelType w:val="hybridMultilevel"/>
    <w:lvl w:ilvl="0">
      <w:lvlJc w:val="left"/>
      <w:lvlText w:val="•"/>
      <w:numFmt w:val="bullet"/>
      <w:start w:val="1"/>
    </w:lvl>
  </w:abstractNum>
  <w:abstractNum w:abstractNumId="94">
    <w:nsid w:val="6FDE8AF6"/>
    <w:multiLevelType w:val="hybridMultilevel"/>
    <w:lvl w:ilvl="0">
      <w:lvlJc w:val="left"/>
      <w:lvlText w:val="u"/>
      <w:numFmt w:val="bullet"/>
      <w:start w:val="1"/>
    </w:lvl>
  </w:abstractNum>
  <w:abstractNum w:abstractNumId="95">
    <w:nsid w:val="3FC32E20"/>
    <w:multiLevelType w:val="hybridMultilevel"/>
    <w:lvl w:ilvl="0">
      <w:lvlJc w:val="left"/>
      <w:lvlText w:val="u"/>
      <w:numFmt w:val="bullet"/>
      <w:start w:val="1"/>
    </w:lvl>
  </w:abstractNum>
  <w:abstractNum w:abstractNumId="96">
    <w:nsid w:val="49C0E823"/>
    <w:multiLevelType w:val="hybridMultilevel"/>
    <w:lvl w:ilvl="0">
      <w:lvlJc w:val="left"/>
      <w:lvlText w:val="u"/>
      <w:numFmt w:val="bullet"/>
      <w:start w:val="1"/>
    </w:lvl>
  </w:abstractNum>
  <w:abstractNum w:abstractNumId="97">
    <w:nsid w:val="14D53685"/>
    <w:multiLevelType w:val="hybridMultilevel"/>
    <w:lvl w:ilvl="0">
      <w:lvlJc w:val="left"/>
      <w:lvlText w:val="u"/>
      <w:numFmt w:val="bullet"/>
      <w:start w:val="1"/>
    </w:lvl>
  </w:abstractNum>
  <w:abstractNum w:abstractNumId="98">
    <w:nsid w:val="230F856C"/>
    <w:multiLevelType w:val="hybridMultilevel"/>
    <w:lvl w:ilvl="0">
      <w:lvlJc w:val="left"/>
      <w:lvlText w:val="u"/>
      <w:numFmt w:val="bullet"/>
      <w:start w:val="1"/>
    </w:lvl>
  </w:abstractNum>
  <w:abstractNum w:abstractNumId="99">
    <w:nsid w:val="6EAA85FB"/>
    <w:multiLevelType w:val="hybridMultilevel"/>
    <w:lvl w:ilvl="0">
      <w:lvlJc w:val="left"/>
      <w:lvlText w:val="•"/>
      <w:numFmt w:val="bullet"/>
      <w:start w:val="1"/>
    </w:lvl>
  </w:abstractNum>
  <w:abstractNum w:abstractNumId="100">
    <w:nsid w:val="3F06ECB2"/>
    <w:multiLevelType w:val="hybridMultilevel"/>
    <w:lvl w:ilvl="0">
      <w:lvlJc w:val="left"/>
      <w:lvlText w:val="u"/>
      <w:numFmt w:val="bullet"/>
      <w:start w:val="1"/>
    </w:lvl>
  </w:abstractNum>
  <w:abstractNum w:abstractNumId="101">
    <w:nsid w:val="3B594807"/>
    <w:multiLevelType w:val="hybridMultilevel"/>
    <w:lvl w:ilvl="0">
      <w:lvlJc w:val="left"/>
      <w:lvlText w:val="u"/>
      <w:numFmt w:val="bullet"/>
      <w:start w:val="1"/>
    </w:lvl>
  </w:abstractNum>
  <w:abstractNum w:abstractNumId="102">
    <w:nsid w:val="6CAA2304"/>
    <w:multiLevelType w:val="hybridMultilevel"/>
    <w:lvl w:ilvl="0">
      <w:lvlJc w:val="left"/>
      <w:lvlText w:val="(%1)"/>
      <w:numFmt w:val="decimal"/>
      <w:start w:val="1"/>
    </w:lvl>
  </w:abstractNum>
  <w:abstractNum w:abstractNumId="103">
    <w:nsid w:val="3F7C2FF4"/>
    <w:multiLevelType w:val="hybridMultilevel"/>
    <w:lvl w:ilvl="0">
      <w:lvlJc w:val="left"/>
      <w:lvlText w:val="(%1)"/>
      <w:numFmt w:val="decimal"/>
      <w:start w:val="3"/>
    </w:lvl>
  </w:abstractNum>
  <w:abstractNum w:abstractNumId="104">
    <w:nsid w:val="25413BEC"/>
    <w:multiLevelType w:val="hybridMultilevel"/>
    <w:lvl w:ilvl="0">
      <w:lvlJc w:val="left"/>
      <w:lvlText w:val="(%1)"/>
      <w:numFmt w:val="decimal"/>
      <w:start w:val="4"/>
    </w:lvl>
  </w:abstractNum>
  <w:abstractNum w:abstractNumId="105">
    <w:nsid w:val="17180B0B"/>
    <w:multiLevelType w:val="hybridMultilevel"/>
    <w:lvl w:ilvl="0">
      <w:lvlJc w:val="left"/>
      <w:lvlText w:val="(%1)"/>
      <w:numFmt w:val="decimal"/>
      <w:start w:val="1"/>
    </w:lvl>
  </w:abstractNum>
  <w:abstractNum w:abstractNumId="106">
    <w:nsid w:val="579328B9"/>
    <w:multiLevelType w:val="hybridMultilevel"/>
    <w:lvl w:ilvl="0">
      <w:lvlJc w:val="left"/>
      <w:lvlText w:val="(%1)"/>
      <w:numFmt w:val="decimal"/>
      <w:start w:val="1"/>
    </w:lvl>
  </w:abstractNum>
  <w:abstractNum w:abstractNumId="107">
    <w:nsid w:val="5D205E20"/>
    <w:multiLevelType w:val="hybridMultilevel"/>
    <w:lvl w:ilvl="0">
      <w:lvlJc w:val="left"/>
      <w:lvlText w:val="u"/>
      <w:numFmt w:val="bullet"/>
      <w:start w:val="1"/>
    </w:lvl>
  </w:abstractNum>
  <w:abstractNum w:abstractNumId="108">
    <w:nsid w:val="11CCA8BA"/>
    <w:multiLevelType w:val="hybridMultilevel"/>
    <w:lvl w:ilvl="0">
      <w:lvlJc w:val="left"/>
      <w:lvlText w:val="(%1)"/>
      <w:numFmt w:val="decimal"/>
      <w:start w:val="1"/>
    </w:lvl>
  </w:abstractNum>
  <w:abstractNum w:abstractNumId="109">
    <w:nsid w:val="4D32AB86"/>
    <w:multiLevelType w:val="hybridMultilevel"/>
    <w:lvl w:ilvl="0">
      <w:lvlJc w:val="left"/>
      <w:lvlText w:val="u"/>
      <w:numFmt w:val="bullet"/>
      <w:start w:val="1"/>
    </w:lvl>
  </w:abstractNum>
  <w:abstractNum w:abstractNumId="110">
    <w:nsid w:val="3F07ACC3"/>
    <w:multiLevelType w:val="hybridMultilevel"/>
    <w:lvl w:ilvl="0">
      <w:lvlJc w:val="left"/>
      <w:lvlText w:val="(%1)"/>
      <w:numFmt w:val="decimal"/>
      <w:start w:val="1"/>
    </w:lvl>
  </w:abstractNum>
  <w:abstractNum w:abstractNumId="111">
    <w:nsid w:val="6B47F63E"/>
    <w:multiLevelType w:val="hybridMultilevel"/>
    <w:lvl w:ilvl="0">
      <w:lvlJc w:val="left"/>
      <w:lvlText w:val="(%1)"/>
      <w:numFmt w:val="decimal"/>
      <w:start w:val="7"/>
    </w:lvl>
  </w:abstractNum>
  <w:abstractNum w:abstractNumId="112">
    <w:nsid w:val="5CB44A05"/>
    <w:multiLevelType w:val="hybridMultilevel"/>
    <w:lvl w:ilvl="0">
      <w:lvlJc w:val="left"/>
      <w:lvlText w:val="u"/>
      <w:numFmt w:val="bullet"/>
      <w:start w:val="1"/>
    </w:lvl>
  </w:abstractNum>
  <w:abstractNum w:abstractNumId="113">
    <w:nsid w:val="16CF80F1"/>
    <w:multiLevelType w:val="hybridMultilevel"/>
    <w:lvl w:ilvl="0">
      <w:lvlJc w:val="left"/>
      <w:lvlText w:val="(%1)"/>
      <w:numFmt w:val="decimal"/>
      <w:start w:val="1"/>
    </w:lvl>
  </w:abstractNum>
  <w:abstractNum w:abstractNumId="114">
    <w:nsid w:val="1C695DEC"/>
    <w:multiLevelType w:val="hybridMultilevel"/>
    <w:lvl w:ilvl="0">
      <w:lvlJc w:val="left"/>
      <w:lvlText w:val="u"/>
      <w:numFmt w:val="bullet"/>
      <w:start w:val="1"/>
    </w:lvl>
  </w:abstractNum>
  <w:abstractNum w:abstractNumId="115">
    <w:nsid w:val="3FCFAED9"/>
    <w:multiLevelType w:val="hybridMultilevel"/>
    <w:lvl w:ilvl="0">
      <w:lvlJc w:val="left"/>
      <w:lvlText w:val="(%1)"/>
      <w:numFmt w:val="decimal"/>
      <w:start w:val="1"/>
    </w:lvl>
  </w:abstractNum>
  <w:abstractNum w:abstractNumId="116">
    <w:nsid w:val="F856867"/>
    <w:multiLevelType w:val="hybridMultilevel"/>
    <w:lvl w:ilvl="0">
      <w:lvlJc w:val="left"/>
      <w:lvlText w:val="u"/>
      <w:numFmt w:val="bullet"/>
      <w:start w:val="1"/>
    </w:lvl>
  </w:abstractNum>
  <w:abstractNum w:abstractNumId="117">
    <w:nsid w:val="11B1CC33"/>
    <w:multiLevelType w:val="hybridMultilevel"/>
    <w:lvl w:ilvl="0">
      <w:lvlJc w:val="left"/>
      <w:lvlText w:val="(%1)"/>
      <w:numFmt w:val="decimal"/>
      <w:start w:val="1"/>
    </w:lvl>
  </w:abstractNum>
  <w:abstractNum w:abstractNumId="118">
    <w:nsid w:val="2E22FBB7"/>
    <w:multiLevelType w:val="hybridMultilevel"/>
    <w:lvl w:ilvl="0">
      <w:lvlJc w:val="left"/>
      <w:lvlText w:val="u"/>
      <w:numFmt w:val="bullet"/>
      <w:start w:val="1"/>
    </w:lvl>
  </w:abstractNum>
  <w:abstractNum w:abstractNumId="119">
    <w:nsid w:val="29934699"/>
    <w:multiLevelType w:val="hybridMultilevel"/>
    <w:lvl w:ilvl="0">
      <w:lvlJc w:val="left"/>
      <w:lvlText w:val="(%1)"/>
      <w:numFmt w:val="decimal"/>
      <w:start w:val="1"/>
    </w:lvl>
  </w:abstractNum>
  <w:abstractNum w:abstractNumId="120">
    <w:nsid w:val="77485850"/>
    <w:multiLevelType w:val="hybridMultilevel"/>
    <w:lvl w:ilvl="0">
      <w:lvlJc w:val="left"/>
      <w:lvlText w:val="%1."/>
      <w:numFmt w:val="decimal"/>
      <w:start w:val="1"/>
    </w:lvl>
  </w:abstractNum>
  <w:abstractNum w:abstractNumId="121">
    <w:nsid w:val="744939A3"/>
    <w:multiLevelType w:val="hybridMultilevel"/>
    <w:lvl w:ilvl="0">
      <w:lvlJc w:val="left"/>
      <w:lvlText w:val="(%1)"/>
      <w:numFmt w:val="decimal"/>
      <w:start w:val="1"/>
    </w:lvl>
    <w:lvl w:ilvl="1">
      <w:lvlJc w:val="left"/>
      <w:lvlText w:val="%2."/>
      <w:numFmt w:val="lowerLetter"/>
      <w:start w:val="1"/>
    </w:lvl>
  </w:abstractNum>
  <w:abstractNum w:abstractNumId="122">
    <w:nsid w:val="4FA0D2E3"/>
    <w:multiLevelType w:val="hybridMultilevel"/>
    <w:lvl w:ilvl="0">
      <w:lvlJc w:val="left"/>
      <w:lvlText w:val="(%1)"/>
      <w:numFmt w:val="decimal"/>
      <w:start w:val="1"/>
    </w:lvl>
  </w:abstractNum>
  <w:abstractNum w:abstractNumId="123">
    <w:nsid w:val="6B1D2C14"/>
    <w:multiLevelType w:val="hybridMultilevel"/>
    <w:lvl w:ilvl="0">
      <w:lvlJc w:val="left"/>
      <w:lvlText w:val="u"/>
      <w:numFmt w:val="bullet"/>
      <w:start w:val="1"/>
    </w:lvl>
  </w:abstractNum>
  <w:abstractNum w:abstractNumId="124">
    <w:nsid w:val="68B867D3"/>
    <w:multiLevelType w:val="hybridMultilevel"/>
    <w:lvl w:ilvl="0">
      <w:lvlJc w:val="left"/>
      <w:lvlText w:val="u"/>
      <w:numFmt w:val="bullet"/>
      <w:start w:val="1"/>
    </w:lvl>
  </w:abstractNum>
  <w:abstractNum w:abstractNumId="125">
    <w:nsid w:val="3F7F5DD9"/>
    <w:multiLevelType w:val="hybridMultilevel"/>
    <w:lvl w:ilvl="0">
      <w:lvlJc w:val="left"/>
      <w:lvlText w:val="✓"/>
      <w:numFmt w:val="bullet"/>
      <w:start w:val="1"/>
    </w:lvl>
  </w:abstractNum>
  <w:abstractNum w:abstractNumId="126">
    <w:nsid w:val="2AE05A34"/>
    <w:multiLevelType w:val="hybridMultilevel"/>
    <w:lvl w:ilvl="0">
      <w:lvlJc w:val="left"/>
      <w:lvlText w:val="u"/>
      <w:numFmt w:val="bullet"/>
      <w:start w:val="1"/>
    </w:lvl>
  </w:abstractNum>
  <w:abstractNum w:abstractNumId="127">
    <w:nsid w:val="32794FF7"/>
    <w:multiLevelType w:val="hybridMultilevel"/>
    <w:lvl w:ilvl="0">
      <w:lvlJc w:val="left"/>
      <w:lvlText w:val="(%1)"/>
      <w:numFmt w:val="decimal"/>
      <w:start w:val="1"/>
    </w:lvl>
  </w:abstractNum>
  <w:abstractNum w:abstractNumId="128">
    <w:nsid w:val="5454945E"/>
    <w:multiLevelType w:val="hybridMultilevel"/>
    <w:lvl w:ilvl="0">
      <w:lvlJc w:val="left"/>
      <w:lvlText w:val="(%1)"/>
      <w:numFmt w:val="decimal"/>
      <w:start w:val="1"/>
    </w:lvl>
  </w:abstractNum>
  <w:abstractNum w:abstractNumId="129">
    <w:nsid w:val="4DEFDFA0"/>
    <w:multiLevelType w:val="hybridMultilevel"/>
    <w:lvl w:ilvl="0">
      <w:lvlJc w:val="left"/>
      <w:lvlText w:val="u"/>
      <w:numFmt w:val="bullet"/>
      <w:start w:val="1"/>
    </w:lvl>
  </w:abstractNum>
  <w:abstractNum w:abstractNumId="130">
    <w:nsid w:val="2123D5F2"/>
    <w:multiLevelType w:val="hybridMultilevel"/>
    <w:lvl w:ilvl="0">
      <w:lvlJc w:val="left"/>
      <w:lvlText w:val="•"/>
      <w:numFmt w:val="bullet"/>
      <w:start w:val="1"/>
    </w:lvl>
  </w:abstractNum>
  <w:abstractNum w:abstractNumId="131">
    <w:nsid w:val="135B8110"/>
    <w:multiLevelType w:val="hybridMultilevel"/>
    <w:lvl w:ilvl="0">
      <w:lvlJc w:val="left"/>
      <w:lvlText w:val="•"/>
      <w:numFmt w:val="bullet"/>
      <w:start w:val="1"/>
    </w:lvl>
  </w:abstractNum>
  <w:abstractNum w:abstractNumId="132">
    <w:nsid w:val="94927A8"/>
    <w:multiLevelType w:val="hybridMultilevel"/>
    <w:lvl w:ilvl="0">
      <w:lvlJc w:val="left"/>
      <w:lvlText w:val="•"/>
      <w:numFmt w:val="bullet"/>
      <w:start w:val="1"/>
    </w:lvl>
  </w:abstractNum>
  <w:abstractNum w:abstractNumId="133">
    <w:nsid w:val="DCDF8F6"/>
    <w:multiLevelType w:val="hybridMultilevel"/>
    <w:lvl w:ilvl="0">
      <w:lvlJc w:val="left"/>
      <w:lvlText w:val="u"/>
      <w:numFmt w:val="bullet"/>
      <w:start w:val="1"/>
    </w:lvl>
  </w:abstractNum>
  <w:abstractNum w:abstractNumId="134">
    <w:nsid w:val="52D7B105"/>
    <w:multiLevelType w:val="hybridMultilevel"/>
    <w:lvl w:ilvl="0">
      <w:lvlJc w:val="left"/>
      <w:lvlText w:val="u"/>
      <w:numFmt w:val="bullet"/>
      <w:start w:val="1"/>
    </w:lvl>
  </w:abstractNum>
  <w:abstractNum w:abstractNumId="135">
    <w:nsid w:val="2E8A6394"/>
    <w:multiLevelType w:val="hybridMultilevel"/>
    <w:lvl w:ilvl="0">
      <w:lvlJc w:val="left"/>
      <w:lvlText w:val="•"/>
      <w:numFmt w:val="bullet"/>
      <w:start w:val="1"/>
    </w:lvl>
  </w:abstractNum>
  <w:abstractNum w:abstractNumId="136">
    <w:nsid w:val="24E60401"/>
    <w:multiLevelType w:val="hybridMultilevel"/>
    <w:lvl w:ilvl="0">
      <w:lvlJc w:val="left"/>
      <w:lvlText w:val="1"/>
      <w:numFmt w:val="bullet"/>
      <w:start w:val="1"/>
    </w:lvl>
  </w:abstractNum>
  <w:abstractNum w:abstractNumId="137">
    <w:nsid w:val="2A6AD9BE"/>
    <w:multiLevelType w:val="hybridMultilevel"/>
    <w:lvl w:ilvl="0">
      <w:lvlJc w:val="left"/>
      <w:lvlText w:val="2"/>
      <w:numFmt w:val="bullet"/>
      <w:start w:val="1"/>
    </w:lvl>
  </w:abstractNum>
  <w:abstractNum w:abstractNumId="138">
    <w:nsid w:val="BAAC1B4"/>
    <w:multiLevelType w:val="hybridMultilevel"/>
    <w:lvl w:ilvl="0">
      <w:lvlJc w:val="left"/>
      <w:lvlText w:val="3"/>
      <w:numFmt w:val="bullet"/>
      <w:start w:val="1"/>
    </w:lvl>
  </w:abstractNum>
  <w:abstractNum w:abstractNumId="139">
    <w:nsid w:val="36B2ACBC"/>
    <w:multiLevelType w:val="hybridMultilevel"/>
    <w:lvl w:ilvl="0">
      <w:lvlJc w:val="left"/>
      <w:lvlText w:val="4"/>
      <w:numFmt w:val="bullet"/>
      <w:start w:val="1"/>
    </w:lvl>
  </w:abstractNum>
  <w:abstractNum w:abstractNumId="140">
    <w:nsid w:val="779D8544"/>
    <w:multiLevelType w:val="hybridMultilevel"/>
    <w:lvl w:ilvl="0">
      <w:lvlJc w:val="left"/>
      <w:lvlText w:val="5"/>
      <w:numFmt w:val="bullet"/>
      <w:start w:val="1"/>
    </w:lvl>
  </w:abstractNum>
  <w:abstractNum w:abstractNumId="141">
    <w:nsid w:val="4AB26E78"/>
    <w:multiLevelType w:val="hybridMultilevel"/>
    <w:lvl w:ilvl="0">
      <w:lvlJc w:val="left"/>
      <w:lvlText w:val="6"/>
      <w:numFmt w:val="bullet"/>
      <w:start w:val="1"/>
    </w:lvl>
  </w:abstractNum>
  <w:abstractNum w:abstractNumId="142">
    <w:nsid w:val="21FAA2FA"/>
    <w:multiLevelType w:val="hybridMultilevel"/>
    <w:lvl w:ilvl="0">
      <w:lvlJc w:val="left"/>
      <w:lvlText w:val="7"/>
      <w:numFmt w:val="bullet"/>
      <w:start w:val="1"/>
    </w:lvl>
  </w:abstractNum>
  <w:abstractNum w:abstractNumId="143">
    <w:nsid w:val="5451CF49"/>
    <w:multiLevelType w:val="hybridMultilevel"/>
    <w:lvl w:ilvl="0">
      <w:lvlJc w:val="left"/>
      <w:lvlText w:val="u"/>
      <w:numFmt w:val="bullet"/>
      <w:start w:val="1"/>
    </w:lvl>
  </w:abstractNum>
  <w:abstractNum w:abstractNumId="144">
    <w:nsid w:val="6181EF69"/>
    <w:multiLevelType w:val="hybridMultilevel"/>
    <w:lvl w:ilvl="0">
      <w:lvlJc w:val="left"/>
      <w:lvlText w:val="%1."/>
      <w:numFmt w:val="decimal"/>
      <w:start w:val="1"/>
    </w:lvl>
  </w:abstractNum>
  <w:abstractNum w:abstractNumId="145">
    <w:nsid w:val="3E6400E6"/>
    <w:multiLevelType w:val="hybridMultilevel"/>
    <w:lvl w:ilvl="0">
      <w:lvlJc w:val="left"/>
      <w:lvlText w:val="(%1)"/>
      <w:numFmt w:val="lowerLetter"/>
      <w:start w:val="2"/>
    </w:lvl>
  </w:abstractNum>
  <w:abstractNum w:abstractNumId="146">
    <w:nsid w:val="14217E23"/>
    <w:multiLevelType w:val="hybridMultilevel"/>
    <w:lvl w:ilvl="0">
      <w:lvlJc w:val="left"/>
      <w:lvlText w:val="1"/>
      <w:numFmt w:val="bullet"/>
      <w:start w:val="1"/>
    </w:lvl>
  </w:abstractNum>
  <w:abstractNum w:abstractNumId="147">
    <w:nsid w:val="710757D0"/>
    <w:multiLevelType w:val="hybridMultilevel"/>
    <w:lvl w:ilvl="0">
      <w:lvlJc w:val="left"/>
      <w:lvlText w:val="2"/>
      <w:numFmt w:val="bullet"/>
      <w:start w:val="1"/>
    </w:lvl>
  </w:abstractNum>
  <w:abstractNum w:abstractNumId="148">
    <w:nsid w:val="5015CD1A"/>
    <w:multiLevelType w:val="hybridMultilevel"/>
    <w:lvl w:ilvl="0">
      <w:lvlJc w:val="left"/>
      <w:lvlText w:val="u"/>
      <w:numFmt w:val="bullet"/>
      <w:start w:val="1"/>
    </w:lvl>
  </w:abstractNum>
  <w:abstractNum w:abstractNumId="149">
    <w:nsid w:val="424479DA"/>
    <w:multiLevelType w:val="hybridMultilevel"/>
    <w:lvl w:ilvl="0">
      <w:lvlJc w:val="left"/>
      <w:lvlText w:val="*"/>
      <w:numFmt w:val="bullet"/>
      <w:start w:val="1"/>
    </w:lvl>
  </w:abstractNum>
  <w:abstractNum w:abstractNumId="150">
    <w:nsid w:val="1A9A9E69"/>
    <w:multiLevelType w:val="hybridMultilevel"/>
    <w:lvl w:ilvl="0">
      <w:lvlJc w:val="left"/>
      <w:lvlText w:val="u"/>
      <w:numFmt w:val="bullet"/>
      <w:start w:val="1"/>
    </w:lvl>
  </w:abstractNum>
  <w:abstractNum w:abstractNumId="151">
    <w:nsid w:val="475E256A"/>
    <w:multiLevelType w:val="hybridMultilevel"/>
    <w:lvl w:ilvl="0">
      <w:lvlJc w:val="left"/>
      <w:lvlText w:val="u"/>
      <w:numFmt w:val="bullet"/>
      <w:start w:val="1"/>
    </w:lvl>
  </w:abstractNum>
  <w:abstractNum w:abstractNumId="152">
    <w:nsid w:val="368DB37E"/>
    <w:multiLevelType w:val="hybridMultilevel"/>
    <w:lvl w:ilvl="0">
      <w:lvlJc w:val="left"/>
      <w:lvlText w:val="u"/>
      <w:numFmt w:val="bullet"/>
      <w:start w:val="1"/>
    </w:lvl>
  </w:abstractNum>
  <w:abstractNum w:abstractNumId="153">
    <w:nsid w:val="6A3B714C"/>
    <w:multiLevelType w:val="hybridMultilevel"/>
    <w:lvl w:ilvl="0">
      <w:lvlJc w:val="left"/>
      <w:lvlText w:val="u"/>
      <w:numFmt w:val="bullet"/>
      <w:start w:val="1"/>
    </w:lvl>
  </w:abstractNum>
  <w:abstractNum w:abstractNumId="154">
    <w:nsid w:val="327B517E"/>
    <w:multiLevelType w:val="hybridMultilevel"/>
    <w:lvl w:ilvl="0">
      <w:lvlJc w:val="left"/>
      <w:lvlText w:val="u"/>
      <w:numFmt w:val="bullet"/>
      <w:start w:val="1"/>
    </w:lvl>
  </w:abstractNum>
  <w:abstractNum w:abstractNumId="155">
    <w:nsid w:val="1F461B51"/>
    <w:multiLevelType w:val="hybridMultilevel"/>
    <w:lvl w:ilvl="0">
      <w:lvlJc w:val="left"/>
      <w:lvlText w:val="u"/>
      <w:numFmt w:val="bullet"/>
      <w:start w:val="1"/>
    </w:lvl>
  </w:abstractNum>
  <w:abstractNum w:abstractNumId="156">
    <w:nsid w:val="29BACF25"/>
    <w:multiLevelType w:val="hybridMultilevel"/>
    <w:lvl w:ilvl="0">
      <w:lvlJc w:val="left"/>
      <w:lvlText w:val="u"/>
      <w:numFmt w:val="bullet"/>
      <w:start w:val="1"/>
    </w:lvl>
  </w:abstractNum>
  <w:abstractNum w:abstractNumId="157">
    <w:nsid w:val="5D5BABB3"/>
    <w:multiLevelType w:val="hybridMultilevel"/>
    <w:lvl w:ilvl="0">
      <w:lvlJc w:val="left"/>
      <w:lvlText w:val="u"/>
      <w:numFmt w:val="bullet"/>
      <w:start w:val="1"/>
    </w:lvl>
  </w:abstractNum>
  <w:abstractNum w:abstractNumId="158">
    <w:nsid w:val="51BF6B48"/>
    <w:multiLevelType w:val="hybridMultilevel"/>
    <w:lvl w:ilvl="0">
      <w:lvlJc w:val="left"/>
      <w:lvlText w:val="u"/>
      <w:numFmt w:val="bullet"/>
      <w:start w:val="1"/>
    </w:lvl>
  </w:abstractNum>
  <w:abstractNum w:abstractNumId="159">
    <w:nsid w:val="7E0F6384"/>
    <w:multiLevelType w:val="hybridMultilevel"/>
    <w:lvl w:ilvl="0">
      <w:lvlJc w:val="left"/>
      <w:lvlText w:val="u"/>
      <w:numFmt w:val="bullet"/>
      <w:start w:val="1"/>
    </w:lvl>
  </w:abstractNum>
  <w:abstractNum w:abstractNumId="160">
    <w:nsid w:val="2B4B8B53"/>
    <w:multiLevelType w:val="hybridMultilevel"/>
    <w:lvl w:ilvl="0">
      <w:lvlJc w:val="left"/>
      <w:lvlText w:val="u"/>
      <w:numFmt w:val="bullet"/>
      <w:start w:val="1"/>
    </w:lvl>
  </w:abstractNum>
  <w:abstractNum w:abstractNumId="161">
    <w:nsid w:val="72E3413A"/>
    <w:multiLevelType w:val="hybridMultilevel"/>
    <w:lvl w:ilvl="0">
      <w:lvlJc w:val="left"/>
      <w:lvlText w:val="u"/>
      <w:numFmt w:val="bullet"/>
      <w:start w:val="1"/>
    </w:lvl>
  </w:abstractNum>
  <w:abstractNum w:abstractNumId="162">
    <w:nsid w:val="116AE494"/>
    <w:multiLevelType w:val="hybridMultilevel"/>
    <w:lvl w:ilvl="0">
      <w:lvlJc w:val="left"/>
      <w:lvlText w:val="u"/>
      <w:numFmt w:val="bullet"/>
      <w:start w:val="1"/>
    </w:lvl>
  </w:abstractNum>
  <w:abstractNum w:abstractNumId="163">
    <w:nsid w:val="3494B2FB"/>
    <w:multiLevelType w:val="hybridMultilevel"/>
    <w:lvl w:ilvl="0">
      <w:lvlJc w:val="left"/>
      <w:lvlText w:val="u"/>
      <w:numFmt w:val="bullet"/>
      <w:start w:val="1"/>
    </w:lvl>
  </w:abstractNum>
  <w:abstractNum w:abstractNumId="164">
    <w:nsid w:val="B13A31"/>
    <w:multiLevelType w:val="hybridMultilevel"/>
    <w:lvl w:ilvl="0">
      <w:lvlJc w:val="left"/>
      <w:lvlText w:val="u"/>
      <w:numFmt w:val="bullet"/>
      <w:start w:val="1"/>
    </w:lvl>
  </w:abstractNum>
  <w:abstractNum w:abstractNumId="165">
    <w:nsid w:val="64429599"/>
    <w:multiLevelType w:val="hybridMultilevel"/>
    <w:lvl w:ilvl="0">
      <w:lvlJc w:val="left"/>
      <w:lvlText w:val="(%1)"/>
      <w:numFmt w:val="lowerRoman"/>
      <w:start w:val="2"/>
    </w:lvl>
  </w:abstractNum>
  <w:abstractNum w:abstractNumId="166">
    <w:nsid w:val="631F1690"/>
    <w:multiLevelType w:val="hybridMultilevel"/>
    <w:lvl w:ilvl="0">
      <w:lvlJc w:val="left"/>
      <w:lvlText w:val="(%1)"/>
      <w:numFmt w:val="decimal"/>
      <w:start w:val="1"/>
    </w:lvl>
  </w:abstractNum>
  <w:abstractNum w:abstractNumId="167">
    <w:nsid w:val="25973E32"/>
    <w:multiLevelType w:val="hybridMultilevel"/>
    <w:lvl w:ilvl="0">
      <w:lvlJc w:val="left"/>
      <w:lvlText w:val="(%1)"/>
      <w:numFmt w:val="decimal"/>
      <w:start w:val="5"/>
    </w:lvl>
  </w:abstractNum>
  <w:abstractNum w:abstractNumId="168">
    <w:nsid w:val="EAD6F57"/>
    <w:multiLevelType w:val="hybridMultilevel"/>
    <w:lvl w:ilvl="0">
      <w:lvlJc w:val="left"/>
      <w:lvlText w:val="(%1)"/>
      <w:numFmt w:val="decimal"/>
      <w:start w:val="1"/>
    </w:lvl>
  </w:abstractNum>
  <w:abstractNum w:abstractNumId="169">
    <w:nsid w:val="6EC9D844"/>
    <w:multiLevelType w:val="hybridMultilevel"/>
    <w:lvl w:ilvl="0">
      <w:lvlJc w:val="left"/>
      <w:lvlText w:val="(%1)"/>
      <w:numFmt w:val="decimal"/>
      <w:start w:val="1"/>
    </w:lvl>
  </w:abstractNum>
  <w:abstractNum w:abstractNumId="170">
    <w:nsid w:val="5C49EAEE"/>
    <w:multiLevelType w:val="hybridMultilevel"/>
    <w:lvl w:ilvl="0">
      <w:lvlJc w:val="left"/>
      <w:lvlText w:val="(%1)"/>
      <w:numFmt w:val="decimal"/>
      <w:start w:val="1"/>
    </w:lvl>
  </w:abstractNum>
  <w:abstractNum w:abstractNumId="171">
    <w:nsid w:val="64AF49B"/>
    <w:multiLevelType w:val="hybridMultilevel"/>
    <w:lvl w:ilvl="0">
      <w:lvlJc w:val="left"/>
      <w:lvlText w:val="(%1)"/>
      <w:numFmt w:val="lowerLetter"/>
      <w:start w:val="1"/>
    </w:lvl>
    <w:lvl w:ilvl="1">
      <w:lvlJc w:val="left"/>
      <w:lvlText w:val="(%2)"/>
      <w:numFmt w:val="lowerRoman"/>
      <w:start w:val="1"/>
    </w:lvl>
  </w:abstractNum>
  <w:abstractNum w:abstractNumId="172">
    <w:nsid w:val="397C46BC"/>
    <w:multiLevelType w:val="hybridMultilevel"/>
    <w:lvl w:ilvl="0">
      <w:lvlJc w:val="left"/>
      <w:lvlText w:val="(%1)"/>
      <w:numFmt w:val="lowerRoman"/>
      <w:start w:val="3"/>
    </w:lvl>
  </w:abstractNum>
  <w:abstractNum w:abstractNumId="173">
    <w:nsid w:val="7E448DE9"/>
    <w:multiLevelType w:val="hybridMultilevel"/>
    <w:lvl w:ilvl="0">
      <w:lvlJc w:val="left"/>
      <w:lvlText w:val="(%1)"/>
      <w:numFmt w:val="lowerLetter"/>
      <w:start w:val="7"/>
    </w:lvl>
  </w:abstractNum>
  <w:abstractNum w:abstractNumId="174">
    <w:nsid w:val="5A9CC3E5"/>
    <w:multiLevelType w:val="hybridMultilevel"/>
    <w:lvl w:ilvl="0">
      <w:lvlJc w:val="left"/>
      <w:lvlText w:val="(%1)"/>
      <w:numFmt w:val="lowerLetter"/>
      <w:start w:val="14"/>
    </w:lvl>
    <w:lvl w:ilvl="1">
      <w:lvlJc w:val="left"/>
      <w:lvlText w:val="(%2)"/>
      <w:numFmt w:val="lowerRoman"/>
      <w:start w:val="1"/>
    </w:lvl>
  </w:abstractNum>
  <w:abstractNum w:abstractNumId="175">
    <w:nsid w:val="1AFE3625"/>
    <w:multiLevelType w:val="hybridMultilevel"/>
    <w:lvl w:ilvl="0">
      <w:lvlJc w:val="left"/>
      <w:lvlText w:val="(%1)"/>
      <w:numFmt w:val="lowerLetter"/>
      <w:start w:val="16"/>
    </w:lvl>
  </w:abstractNum>
  <w:abstractNum w:abstractNumId="176">
    <w:nsid w:val="3CA88ECF"/>
    <w:multiLevelType w:val="hybridMultilevel"/>
    <w:lvl w:ilvl="0">
      <w:lvlJc w:val="left"/>
      <w:lvlText w:val="(%1)"/>
      <w:numFmt w:val="lowerLetter"/>
      <w:start w:val="23"/>
    </w:lvl>
  </w:abstractNum>
  <w:abstractNum w:abstractNumId="177">
    <w:nsid w:val="6EBE4208"/>
    <w:multiLevelType w:val="hybridMultilevel"/>
    <w:lvl w:ilvl="0">
      <w:lvlJc w:val="left"/>
      <w:lvlText w:val="(%1)"/>
      <w:numFmt w:val="lowerLetter"/>
      <w:start w:val="27"/>
    </w:lvl>
  </w:abstractNum>
  <w:abstractNum w:abstractNumId="178">
    <w:nsid w:val="C058DF5"/>
    <w:multiLevelType w:val="hybridMultilevel"/>
    <w:lvl w:ilvl="0">
      <w:lvlJc w:val="left"/>
      <w:lvlText w:val="(%1)"/>
      <w:numFmt w:val="lowerLetter"/>
      <w:start w:val="1"/>
    </w:lvl>
  </w:abstractNum>
  <w:abstractNum w:abstractNumId="179">
    <w:nsid w:val="CBE5BE9"/>
    <w:multiLevelType w:val="hybridMultilevel"/>
    <w:lvl w:ilvl="0">
      <w:lvlJc w:val="left"/>
      <w:lvlText w:val="(%1)"/>
      <w:numFmt w:val="lowerLetter"/>
      <w:start w:val="35"/>
    </w:lvl>
  </w:abstractNum>
  <w:abstractNum w:abstractNumId="180">
    <w:nsid w:val="3102BBE2"/>
    <w:multiLevelType w:val="hybridMultilevel"/>
    <w:lvl w:ilvl="0">
      <w:lvlJc w:val="left"/>
      <w:lvlText w:val="(%1)"/>
      <w:numFmt w:val="lowerLetter"/>
      <w:start w:val="24"/>
    </w:lvl>
  </w:abstractNum>
  <w:abstractNum w:abstractNumId="181">
    <w:nsid w:val="26A02C5E"/>
    <w:multiLevelType w:val="hybridMultilevel"/>
    <w:lvl w:ilvl="0">
      <w:lvlJc w:val="left"/>
      <w:lvlText w:val="(%1)"/>
      <w:numFmt w:val="lowerLetter"/>
      <w:start w:val="4"/>
    </w:lvl>
  </w:abstractNum>
  <w:abstractNum w:abstractNumId="182">
    <w:nsid w:val="541C8153"/>
    <w:multiLevelType w:val="hybridMultilevel"/>
    <w:lvl w:ilvl="0">
      <w:lvlJc w:val="left"/>
      <w:lvlText w:val="(%1)"/>
      <w:numFmt w:val="lowerLetter"/>
      <w:start w:val="1"/>
    </w:lvl>
    <w:lvl w:ilvl="1">
      <w:lvlJc w:val="left"/>
      <w:lvlText w:val="(%2)"/>
      <w:numFmt w:val="lowerRoman"/>
      <w:start w:val="1"/>
    </w:lvl>
  </w:abstractNum>
  <w:abstractNum w:abstractNumId="183">
    <w:nsid w:val="67906F60"/>
    <w:multiLevelType w:val="hybridMultilevel"/>
    <w:lvl w:ilvl="0">
      <w:lvlJc w:val="left"/>
      <w:lvlText w:val="(%1)"/>
      <w:numFmt w:val="lowerLetter"/>
      <w:start w:val="1"/>
    </w:lvl>
  </w:abstractNum>
  <w:abstractNum w:abstractNumId="184">
    <w:nsid w:val="10DB9DAA"/>
    <w:multiLevelType w:val="hybridMultilevel"/>
    <w:lvl w:ilvl="0">
      <w:lvlJc w:val="left"/>
      <w:lvlText w:val="(%1)"/>
      <w:numFmt w:val="lowerLetter"/>
      <w:start w:val="2"/>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lowerLetter"/>
      <w:start w:val="1"/>
    </w:lvl>
  </w:abstractNum>
  <w:abstractNum w:abstractNumId="187">
    <w:nsid w:val="3A966CD0"/>
    <w:multiLevelType w:val="hybridMultilevel"/>
    <w:lvl w:ilvl="0">
      <w:lvlJc w:val="left"/>
      <w:lvlText w:val="(%1)"/>
      <w:numFmt w:val="lowerLetter"/>
      <w:start w:val="2"/>
    </w:lvl>
  </w:abstractNum>
  <w:abstractNum w:abstractNumId="188">
    <w:nsid w:val="63F37E85"/>
    <w:multiLevelType w:val="hybridMultilevel"/>
    <w:lvl w:ilvl="0">
      <w:lvlJc w:val="left"/>
      <w:lvlText w:val="(%1)"/>
      <w:numFmt w:val="lowerLetter"/>
      <w:start w:val="1"/>
    </w:lvl>
  </w:abstractNum>
  <w:abstractNum w:abstractNumId="189">
    <w:nsid w:val="5895F5FA"/>
    <w:multiLevelType w:val="hybridMultilevel"/>
    <w:lvl w:ilvl="0">
      <w:lvlJc w:val="left"/>
      <w:lvlText w:val="(%1)"/>
      <w:numFmt w:val="lowerLetter"/>
      <w:start w:val="2"/>
    </w:lvl>
  </w:abstractNum>
  <w:abstractNum w:abstractNumId="190">
    <w:nsid w:val="38A5D054"/>
    <w:multiLevelType w:val="hybridMultilevel"/>
    <w:lvl w:ilvl="0">
      <w:lvlJc w:val="left"/>
      <w:lvlText w:val="(%1)"/>
      <w:numFmt w:val="lowerLetter"/>
      <w:start w:val="1"/>
    </w:lvl>
    <w:lvl w:ilvl="1">
      <w:lvlJc w:val="left"/>
      <w:lvlText w:val="(%2)"/>
      <w:numFmt w:val="lowerRoman"/>
      <w:start w:val="1"/>
    </w:lvl>
  </w:abstractNum>
  <w:abstractNum w:abstractNumId="191">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2">
    <w:nsid w:val="4B7937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3">
    <w:nsid w:val="4A10B4E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4">
    <w:nsid w:val="43D3BCD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95">
    <w:nsid w:val="4C2A7166"/>
    <w:multiLevelType w:val="hybridMultilevel"/>
    <w:lvl w:ilvl="0">
      <w:lvlJc w:val="left"/>
      <w:lvlText w:val="(%1)"/>
      <w:numFmt w:val="lowerLetter"/>
      <w:start w:val="5"/>
    </w:lvl>
  </w:abstractNum>
  <w:abstractNum w:abstractNumId="196">
    <w:nsid w:val="2E534A82"/>
    <w:multiLevelType w:val="hybridMultilevel"/>
    <w:lvl w:ilvl="0">
      <w:lvlJc w:val="left"/>
      <w:lvlText w:val="(%1)"/>
      <w:numFmt w:val="lowerLetter"/>
      <w:start w:val="35"/>
    </w:lvl>
  </w:abstractNum>
  <w:abstractNum w:abstractNumId="197">
    <w:nsid w:val="26F2D364"/>
    <w:multiLevelType w:val="hybridMultilevel"/>
    <w:lvl w:ilvl="0">
      <w:lvlJc w:val="left"/>
      <w:lvlText w:val="(%1)"/>
      <w:numFmt w:val="lowerLetter"/>
      <w:start w:val="6"/>
    </w:lvl>
  </w:abstractNum>
  <w:abstractNum w:abstractNumId="198">
    <w:nsid w:val="71C1AF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99">
    <w:nsid w:val="3D00B9D9"/>
    <w:multiLevelType w:val="hybridMultilevel"/>
    <w:lvl w:ilvl="0">
      <w:lvlJc w:val="left"/>
      <w:lvlText w:val="(%1)"/>
      <w:numFmt w:val="upperLetter"/>
      <w:start w:val="2"/>
    </w:lvl>
  </w:abstractNum>
  <w:abstractNum w:abstractNumId="200">
    <w:nsid w:val="15BCABA8"/>
    <w:multiLevelType w:val="hybridMultilevel"/>
    <w:lvl w:ilvl="0">
      <w:lvlJc w:val="left"/>
      <w:lvlText w:val="(%1)"/>
      <w:numFmt w:val="lowerRoman"/>
      <w:start w:val="3"/>
    </w:lvl>
  </w:abstractNum>
  <w:abstractNum w:abstractNumId="201">
    <w:nsid w:val="4E0B9A87"/>
    <w:multiLevelType w:val="hybridMultilevel"/>
    <w:lvl w:ilvl="0">
      <w:lvlJc w:val="left"/>
      <w:lvlText w:val="(%1)"/>
      <w:numFmt w:val="lowerLetter"/>
      <w:start w:val="2"/>
    </w:lvl>
    <w:lvl w:ilvl="1">
      <w:lvlJc w:val="left"/>
      <w:lvlText w:val="(%2)"/>
      <w:numFmt w:val="lowerRoman"/>
      <w:start w:val="1"/>
    </w:lvl>
  </w:abstractNum>
  <w:abstractNum w:abstractNumId="202">
    <w:nsid w:val="434BAE75"/>
    <w:multiLevelType w:val="hybridMultilevel"/>
    <w:lvl w:ilvl="0">
      <w:lvlJc w:val="left"/>
      <w:lvlText w:val="(%1)"/>
      <w:numFmt w:val="lowerLetter"/>
      <w:start w:val="1"/>
    </w:lvl>
  </w:abstractNum>
  <w:abstractNum w:abstractNumId="203">
    <w:nsid w:val="4F38F265"/>
    <w:multiLevelType w:val="hybridMultilevel"/>
    <w:lvl w:ilvl="0">
      <w:lvlJc w:val="left"/>
      <w:lvlText w:val="(%1)"/>
      <w:numFmt w:val="lowerLetter"/>
      <w:start w:val="2"/>
    </w:lvl>
  </w:abstractNum>
  <w:abstractNum w:abstractNumId="204">
    <w:nsid w:val="4C502870"/>
    <w:multiLevelType w:val="hybridMultilevel"/>
    <w:lvl w:ilvl="0">
      <w:lvlJc w:val="left"/>
      <w:lvlText w:val="(%1)"/>
      <w:numFmt w:val="lowerLetter"/>
      <w:start w:val="1"/>
    </w:lvl>
  </w:abstractNum>
  <w:abstractNum w:abstractNumId="205">
    <w:nsid w:val="1DE8725A"/>
    <w:multiLevelType w:val="hybridMultilevel"/>
    <w:lvl w:ilvl="0">
      <w:lvlJc w:val="left"/>
      <w:lvlText w:val="(%1)"/>
      <w:numFmt w:val="lowerLetter"/>
      <w:start w:val="2"/>
    </w:lvl>
  </w:abstractNum>
  <w:abstractNum w:abstractNumId="206">
    <w:nsid w:val="6A37288A"/>
    <w:multiLevelType w:val="hybridMultilevel"/>
    <w:lvl w:ilvl="0">
      <w:lvlJc w:val="left"/>
      <w:lvlText w:val="(%1)"/>
      <w:numFmt w:val="lowerLetter"/>
      <w:start w:val="1"/>
    </w:lvl>
  </w:abstractNum>
  <w:abstractNum w:abstractNumId="207">
    <w:nsid w:val="8F8B73F"/>
    <w:multiLevelType w:val="hybridMultilevel"/>
    <w:lvl w:ilvl="0">
      <w:lvlJc w:val="left"/>
      <w:lvlText w:val="(%1)"/>
      <w:numFmt w:val="lowerLetter"/>
      <w:start w:val="2"/>
    </w:lvl>
  </w:abstractNum>
  <w:abstractNum w:abstractNumId="208">
    <w:nsid w:val="CA6B46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2020-04-27T14:07:33Z</dcterms:created>
  <dcterms:modified xsi:type="dcterms:W3CDTF">2020-04-27T14:07:33Z</dcterms:modified>
</cp:coreProperties>
</file>